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33773B" w14:textId="4F71FF76" w:rsidR="00276D58" w:rsidRDefault="009577AB" w:rsidP="00276D58">
      <w:pPr>
        <w:pStyle w:val="Titulosinnum"/>
      </w:pPr>
      <w:r>
        <w:t xml:space="preserve">Apéndice B. </w:t>
      </w:r>
      <w:r w:rsidRPr="000470B8">
        <w:rPr>
          <w:bCs/>
          <w:szCs w:val="24"/>
        </w:rPr>
        <w:t xml:space="preserve">Artículo Publicable </w:t>
      </w:r>
    </w:p>
    <w:p w14:paraId="5F7DCD43" w14:textId="4D0E685B" w:rsidR="00A903AE" w:rsidRDefault="00A903AE" w:rsidP="00EB7688"/>
    <w:p w14:paraId="63EED35B" w14:textId="77777777" w:rsidR="00994E45" w:rsidRDefault="00994E45" w:rsidP="00994E45">
      <w:pPr>
        <w:ind w:firstLine="0"/>
        <w:mirrorIndents/>
        <w:jc w:val="center"/>
        <w:rPr>
          <w:b/>
          <w:bCs/>
        </w:rPr>
      </w:pPr>
      <w:r w:rsidRPr="003E082F">
        <w:rPr>
          <w:b/>
          <w:bCs/>
        </w:rPr>
        <w:t>Resumen</w:t>
      </w:r>
    </w:p>
    <w:p w14:paraId="33F42B42" w14:textId="6FE0271D" w:rsidR="00994E45" w:rsidRDefault="00994E45" w:rsidP="00994E45">
      <w:pPr>
        <w:spacing w:after="160" w:line="276" w:lineRule="auto"/>
        <w:ind w:firstLine="0"/>
        <w:rPr>
          <w:rFonts w:eastAsiaTheme="minorHAnsi"/>
          <w:bCs/>
          <w:sz w:val="28"/>
          <w:szCs w:val="24"/>
          <w:vertAlign w:val="superscript"/>
        </w:rPr>
      </w:pPr>
      <w:r w:rsidRPr="00372ED8">
        <w:rPr>
          <w:rFonts w:eastAsiaTheme="minorHAnsi"/>
          <w:b/>
        </w:rPr>
        <w:t>Título:</w:t>
      </w:r>
      <w:r w:rsidRPr="00372ED8">
        <w:rPr>
          <w:rFonts w:eastAsiaTheme="minorHAnsi"/>
        </w:rPr>
        <w:t xml:space="preserve"> </w:t>
      </w:r>
      <w:r w:rsidRPr="00310CB2">
        <w:rPr>
          <w:rFonts w:eastAsiaTheme="minorHAnsi"/>
        </w:rPr>
        <w:t>Investigación exploratoria de las dinámicas de operación en los oferentes informales y las MiPymes del sector de turismo de aventura en Santander (</w:t>
      </w:r>
      <w:r w:rsidR="002B1E7C" w:rsidRPr="00310CB2">
        <w:rPr>
          <w:rFonts w:eastAsiaTheme="minorHAnsi"/>
        </w:rPr>
        <w:t>Colombia</w:t>
      </w:r>
      <w:r w:rsidR="002B1E7C" w:rsidRPr="00994E45">
        <w:rPr>
          <w:rFonts w:eastAsiaTheme="minorHAnsi"/>
          <w:szCs w:val="24"/>
        </w:rPr>
        <w:t>)</w:t>
      </w:r>
      <w:r w:rsidRPr="00994E45">
        <w:rPr>
          <w:bCs/>
          <w:sz w:val="28"/>
          <w:szCs w:val="28"/>
          <w:vertAlign w:val="superscript"/>
        </w:rPr>
        <w:footnoteReference w:customMarkFollows="1" w:id="2"/>
        <w:t>*</w:t>
      </w:r>
      <w:r w:rsidRPr="00372ED8">
        <w:rPr>
          <w:rFonts w:eastAsiaTheme="minorHAnsi"/>
          <w:bCs/>
          <w:sz w:val="28"/>
          <w:szCs w:val="24"/>
          <w:vertAlign w:val="superscript"/>
        </w:rPr>
        <w:t xml:space="preserve"> </w:t>
      </w:r>
    </w:p>
    <w:p w14:paraId="7C4E20EF" w14:textId="376EE280" w:rsidR="00994E45" w:rsidRPr="00372ED8" w:rsidRDefault="00994E45" w:rsidP="00994E45">
      <w:pPr>
        <w:spacing w:after="160" w:line="360" w:lineRule="auto"/>
        <w:ind w:firstLine="0"/>
        <w:rPr>
          <w:rFonts w:eastAsiaTheme="minorHAnsi"/>
        </w:rPr>
      </w:pPr>
      <w:r w:rsidRPr="00372ED8">
        <w:rPr>
          <w:rFonts w:eastAsiaTheme="minorHAnsi"/>
          <w:b/>
        </w:rPr>
        <w:t>Autor:</w:t>
      </w:r>
      <w:r w:rsidRPr="00372ED8">
        <w:rPr>
          <w:rFonts w:eastAsiaTheme="minorHAnsi"/>
        </w:rPr>
        <w:t xml:space="preserve"> </w:t>
      </w:r>
      <w:r w:rsidRPr="00310CB2">
        <w:rPr>
          <w:rFonts w:eastAsiaTheme="minorHAnsi"/>
        </w:rPr>
        <w:t>Juan Sebastián Carvajal Rodríguez</w:t>
      </w:r>
      <w:r w:rsidRPr="00372ED8">
        <w:rPr>
          <w:rFonts w:eastAsiaTheme="minorHAnsi"/>
          <w:bCs/>
          <w:sz w:val="28"/>
          <w:szCs w:val="24"/>
          <w:vertAlign w:val="superscript"/>
        </w:rPr>
        <w:footnoteReference w:customMarkFollows="1" w:id="3"/>
        <w:t>*</w:t>
      </w:r>
      <w:r w:rsidRPr="00372ED8">
        <w:rPr>
          <w:rFonts w:eastAsiaTheme="minorHAnsi"/>
          <w:bCs/>
          <w:sz w:val="28"/>
          <w:szCs w:val="24"/>
          <w:vertAlign w:val="superscript"/>
        </w:rPr>
        <w:footnoteReference w:customMarkFollows="1" w:id="4"/>
        <w:t>*</w:t>
      </w:r>
    </w:p>
    <w:p w14:paraId="5C525F31" w14:textId="77777777" w:rsidR="00994E45" w:rsidRPr="00372ED8" w:rsidRDefault="00994E45" w:rsidP="00994E45">
      <w:pPr>
        <w:spacing w:after="160" w:line="360" w:lineRule="auto"/>
        <w:ind w:firstLine="0"/>
        <w:rPr>
          <w:rFonts w:eastAsiaTheme="minorHAnsi"/>
        </w:rPr>
      </w:pPr>
      <w:r w:rsidRPr="00372ED8">
        <w:rPr>
          <w:rFonts w:eastAsiaTheme="minorHAnsi"/>
          <w:b/>
        </w:rPr>
        <w:t xml:space="preserve">Palabras Claves: </w:t>
      </w:r>
      <w:r w:rsidRPr="00BA445E">
        <w:rPr>
          <w:rFonts w:eastAsiaTheme="minorHAnsi"/>
          <w:bCs/>
        </w:rPr>
        <w:t>Competitividad turística, formalización empresarial, MiPymes, promoción digital, turismo de aventura</w:t>
      </w:r>
      <w:r w:rsidRPr="00372ED8">
        <w:rPr>
          <w:rFonts w:eastAsiaTheme="minorHAnsi"/>
        </w:rPr>
        <w:t>.</w:t>
      </w:r>
    </w:p>
    <w:p w14:paraId="5F1ACA11" w14:textId="77777777" w:rsidR="00994E45" w:rsidRPr="00372ED8" w:rsidRDefault="00994E45" w:rsidP="00994E45">
      <w:pPr>
        <w:spacing w:after="160" w:line="360" w:lineRule="auto"/>
        <w:ind w:firstLine="0"/>
        <w:rPr>
          <w:rFonts w:eastAsiaTheme="minorHAnsi"/>
          <w:b/>
        </w:rPr>
      </w:pPr>
      <w:r w:rsidRPr="00372ED8">
        <w:rPr>
          <w:rFonts w:eastAsiaTheme="minorHAnsi"/>
          <w:b/>
        </w:rPr>
        <w:t xml:space="preserve">Descripción: </w:t>
      </w:r>
    </w:p>
    <w:p w14:paraId="21C6E444" w14:textId="77777777" w:rsidR="00994E45" w:rsidRDefault="00994E45" w:rsidP="00994E45">
      <w:pPr>
        <w:spacing w:line="276" w:lineRule="auto"/>
        <w:ind w:firstLine="0"/>
        <w:rPr>
          <w:rFonts w:eastAsia="Times New Roman"/>
          <w:szCs w:val="24"/>
          <w:lang w:eastAsia="es-CO"/>
        </w:rPr>
      </w:pPr>
      <w:r w:rsidRPr="003465DB">
        <w:rPr>
          <w:rFonts w:eastAsia="Times New Roman"/>
          <w:szCs w:val="24"/>
          <w:lang w:eastAsia="es-CO"/>
        </w:rPr>
        <w:t>El turismo de aventura se ha consolidado como un segmento estratégico para el desarrollo territorial en Santander, donde la oferta está dominada por micro, pequeñas y medianas empresas, así como por prestadores informales que coexisten en un ecosistema empresarial heterogéneo. El objetivo de este estudio fue analizar las dinámicas de operación de las empresas informales y las MiPymes del turismo de aventura en el departamento, identificando prácticas de gestión, estrategias de promoción digital y factores asociados a la formalización y la competitividad. La investigación adoptó un enfoque cualitativo y exploratorio, combinando una revisión sistemática y análisis bibliométrico de literatura académica, un análisis de contenido digital de perfiles en redes sociales de operadores turísticos y una revisión de literatura gris e informes institucionales, integrados mediante una triangulación comparativa. Los resultados evidencian la coexistencia de dos enfoques predominantes de promoción digital, uno formal-empresarial, caracterizado por discursos profesionales e institucionales, y otro informal-emprendedor, basado en narrativas cercanas y experienciales. Asimismo, se identificó que un mayor volumen de publicaciones y seguidores no garantiza mayores niveles de interacción, siendo la identidad territorial y el tono comunicativo factores más determinantes en la construcción de comunidad. Se concluye que persisten brechas significativas de formalización y estrategia digital, cuya comprensión resulta clave para fortalecer la competitividad y sostenibilidad del turismo de aventura en Santander.</w:t>
      </w:r>
    </w:p>
    <w:p w14:paraId="662FC25E" w14:textId="77777777" w:rsidR="00994E45" w:rsidRDefault="00994E45" w:rsidP="00994E45">
      <w:pPr>
        <w:spacing w:line="276" w:lineRule="auto"/>
        <w:ind w:firstLine="0"/>
        <w:rPr>
          <w:rFonts w:eastAsia="Times New Roman"/>
          <w:szCs w:val="24"/>
          <w:lang w:eastAsia="es-CO"/>
        </w:rPr>
      </w:pPr>
    </w:p>
    <w:p w14:paraId="51407CCB" w14:textId="77777777" w:rsidR="00994E45" w:rsidRDefault="00994E45" w:rsidP="00994E45">
      <w:pPr>
        <w:spacing w:line="276" w:lineRule="auto"/>
        <w:ind w:firstLine="0"/>
        <w:rPr>
          <w:rFonts w:eastAsia="Times New Roman"/>
          <w:szCs w:val="24"/>
          <w:lang w:eastAsia="es-CO"/>
        </w:rPr>
      </w:pPr>
    </w:p>
    <w:p w14:paraId="3200601F" w14:textId="77777777" w:rsidR="00994E45" w:rsidRDefault="00994E45" w:rsidP="00994E45">
      <w:pPr>
        <w:spacing w:line="276" w:lineRule="auto"/>
        <w:ind w:firstLine="0"/>
        <w:rPr>
          <w:rFonts w:eastAsia="Times New Roman"/>
          <w:szCs w:val="24"/>
          <w:lang w:eastAsia="es-CO"/>
        </w:rPr>
      </w:pPr>
    </w:p>
    <w:p w14:paraId="53746013" w14:textId="77777777" w:rsidR="00994E45" w:rsidRDefault="00994E45" w:rsidP="00994E45">
      <w:pPr>
        <w:ind w:firstLine="0"/>
        <w:jc w:val="center"/>
        <w:rPr>
          <w:rFonts w:eastAsiaTheme="majorEastAsia" w:cstheme="majorBidi"/>
          <w:b/>
          <w:bCs/>
          <w:kern w:val="36"/>
          <w:szCs w:val="56"/>
          <w:lang w:val="en-US"/>
        </w:rPr>
      </w:pPr>
      <w:bookmarkStart w:id="0" w:name="_Toc60864679"/>
      <w:bookmarkStart w:id="1" w:name="_Toc69376985"/>
      <w:r w:rsidRPr="00372ED8">
        <w:rPr>
          <w:rFonts w:eastAsiaTheme="majorEastAsia" w:cstheme="majorBidi"/>
          <w:b/>
          <w:bCs/>
          <w:kern w:val="36"/>
          <w:szCs w:val="56"/>
          <w:lang w:val="en-US"/>
        </w:rPr>
        <w:lastRenderedPageBreak/>
        <w:t>Abstract</w:t>
      </w:r>
      <w:bookmarkEnd w:id="0"/>
      <w:bookmarkEnd w:id="1"/>
    </w:p>
    <w:p w14:paraId="32969870" w14:textId="77777777" w:rsidR="00994E45" w:rsidRPr="00372ED8" w:rsidRDefault="00994E45" w:rsidP="00994E45">
      <w:pPr>
        <w:ind w:firstLine="0"/>
        <w:jc w:val="center"/>
        <w:rPr>
          <w:rFonts w:eastAsiaTheme="majorEastAsia" w:cstheme="majorBidi"/>
          <w:b/>
          <w:bCs/>
          <w:kern w:val="36"/>
          <w:szCs w:val="56"/>
          <w:lang w:val="en-US"/>
        </w:rPr>
      </w:pPr>
    </w:p>
    <w:p w14:paraId="5662CADE" w14:textId="77777777" w:rsidR="00994E45" w:rsidRPr="00372ED8" w:rsidRDefault="00994E45" w:rsidP="00994E45">
      <w:pPr>
        <w:spacing w:after="160" w:line="360" w:lineRule="auto"/>
        <w:ind w:firstLine="0"/>
        <w:rPr>
          <w:rFonts w:eastAsiaTheme="minorHAnsi"/>
          <w:szCs w:val="24"/>
          <w:lang w:val="en-US"/>
        </w:rPr>
      </w:pPr>
      <w:r w:rsidRPr="00372ED8">
        <w:rPr>
          <w:rFonts w:eastAsiaTheme="minorHAnsi"/>
          <w:b/>
          <w:szCs w:val="24"/>
          <w:lang w:val="en-US"/>
        </w:rPr>
        <w:t>Title:</w:t>
      </w:r>
      <w:r w:rsidRPr="00372ED8">
        <w:rPr>
          <w:rFonts w:eastAsiaTheme="minorHAnsi"/>
          <w:szCs w:val="24"/>
          <w:lang w:val="en-US"/>
        </w:rPr>
        <w:t xml:space="preserve"> </w:t>
      </w:r>
      <w:r w:rsidRPr="0069799F">
        <w:rPr>
          <w:rFonts w:eastAsiaTheme="minorHAnsi"/>
          <w:szCs w:val="24"/>
          <w:lang w:val="en-US"/>
        </w:rPr>
        <w:t>Exploratory Research on the Operational Dynamics of Informal Providers and MSMEs in the Adventure Tourism Sector in Santander (Colombia)</w:t>
      </w:r>
      <w:r w:rsidRPr="00372ED8">
        <w:rPr>
          <w:bCs/>
          <w:sz w:val="28"/>
          <w:szCs w:val="28"/>
          <w:vertAlign w:val="superscript"/>
          <w:lang w:val="en-US"/>
        </w:rPr>
        <w:footnoteReference w:customMarkFollows="1" w:id="5"/>
        <w:t>*</w:t>
      </w:r>
    </w:p>
    <w:p w14:paraId="270D79BF" w14:textId="77777777" w:rsidR="00994E45" w:rsidRPr="00F44597" w:rsidRDefault="00994E45" w:rsidP="00994E45">
      <w:pPr>
        <w:spacing w:after="160" w:line="360" w:lineRule="auto"/>
        <w:ind w:firstLine="0"/>
        <w:rPr>
          <w:rFonts w:eastAsiaTheme="minorHAnsi"/>
          <w:szCs w:val="24"/>
        </w:rPr>
      </w:pPr>
      <w:proofErr w:type="spellStart"/>
      <w:r w:rsidRPr="00F44597">
        <w:rPr>
          <w:rFonts w:eastAsiaTheme="minorHAnsi"/>
          <w:b/>
          <w:szCs w:val="24"/>
        </w:rPr>
        <w:t>Author</w:t>
      </w:r>
      <w:proofErr w:type="spellEnd"/>
      <w:r w:rsidRPr="00F44597">
        <w:rPr>
          <w:rFonts w:eastAsiaTheme="minorHAnsi"/>
          <w:b/>
          <w:szCs w:val="24"/>
        </w:rPr>
        <w:t>:</w:t>
      </w:r>
      <w:r w:rsidRPr="00F44597">
        <w:rPr>
          <w:rFonts w:eastAsiaTheme="minorHAnsi"/>
          <w:szCs w:val="24"/>
        </w:rPr>
        <w:t xml:space="preserve"> Juan Sebastián Carvajal Rodríguez</w:t>
      </w:r>
      <w:r w:rsidRPr="00F44597">
        <w:rPr>
          <w:rFonts w:eastAsiaTheme="minorHAnsi"/>
          <w:bCs/>
          <w:sz w:val="28"/>
          <w:szCs w:val="28"/>
          <w:vertAlign w:val="superscript"/>
        </w:rPr>
        <w:footnoteReference w:customMarkFollows="1" w:id="6"/>
        <w:t>*</w:t>
      </w:r>
      <w:r w:rsidRPr="00F44597">
        <w:rPr>
          <w:rFonts w:eastAsiaTheme="minorHAnsi"/>
          <w:bCs/>
          <w:sz w:val="28"/>
          <w:szCs w:val="28"/>
          <w:vertAlign w:val="superscript"/>
        </w:rPr>
        <w:footnoteReference w:customMarkFollows="1" w:id="7"/>
        <w:t>*</w:t>
      </w:r>
    </w:p>
    <w:p w14:paraId="4B0458B9" w14:textId="77777777" w:rsidR="00994E45" w:rsidRPr="00372ED8" w:rsidRDefault="00994E45" w:rsidP="00994E45">
      <w:pPr>
        <w:spacing w:after="160" w:line="360" w:lineRule="auto"/>
        <w:ind w:firstLine="0"/>
        <w:rPr>
          <w:rFonts w:eastAsiaTheme="minorHAnsi"/>
          <w:lang w:val="en-US"/>
        </w:rPr>
      </w:pPr>
      <w:r w:rsidRPr="00372ED8">
        <w:rPr>
          <w:rFonts w:eastAsiaTheme="minorHAnsi"/>
          <w:b/>
          <w:lang w:val="en-US"/>
        </w:rPr>
        <w:t xml:space="preserve">Keywords: </w:t>
      </w:r>
      <w:r w:rsidRPr="0069799F">
        <w:rPr>
          <w:rFonts w:eastAsiaTheme="minorHAnsi"/>
          <w:lang w:val="en-US"/>
        </w:rPr>
        <w:t>Tourism competitiveness, business formalization, MSMEs, digital promotion, adventure tourism.</w:t>
      </w:r>
    </w:p>
    <w:p w14:paraId="00CC7DDD" w14:textId="77777777" w:rsidR="00994E45" w:rsidRPr="00372ED8" w:rsidRDefault="00994E45" w:rsidP="00994E45">
      <w:pPr>
        <w:spacing w:after="160" w:line="360" w:lineRule="auto"/>
        <w:ind w:firstLine="0"/>
        <w:rPr>
          <w:rFonts w:eastAsiaTheme="minorHAnsi"/>
          <w:b/>
          <w:lang w:val="en-US"/>
        </w:rPr>
      </w:pPr>
      <w:r w:rsidRPr="00372ED8">
        <w:rPr>
          <w:rFonts w:eastAsiaTheme="minorHAnsi"/>
          <w:b/>
          <w:lang w:val="en-US"/>
        </w:rPr>
        <w:t xml:space="preserve">Description: </w:t>
      </w:r>
    </w:p>
    <w:p w14:paraId="400533CB" w14:textId="77777777" w:rsidR="00994E45" w:rsidRPr="00372ED8" w:rsidRDefault="00994E45" w:rsidP="00994E45">
      <w:pPr>
        <w:spacing w:line="276" w:lineRule="auto"/>
        <w:ind w:firstLine="0"/>
        <w:rPr>
          <w:rFonts w:eastAsia="Times New Roman"/>
          <w:szCs w:val="24"/>
          <w:lang w:val="en-US" w:eastAsia="es-CO"/>
        </w:rPr>
      </w:pPr>
      <w:r w:rsidRPr="0069799F">
        <w:rPr>
          <w:rFonts w:eastAsia="Times New Roman"/>
          <w:szCs w:val="24"/>
          <w:lang w:val="en-US" w:eastAsia="es-CO"/>
        </w:rPr>
        <w:t>Adventure tourism has become a strategic segment for territorial development in Santander, where the supply is dominated by micro, small, and medium-sized enterprises, as well as informal providers who coexist in a heterogeneous business ecosystem. The objective of this study was to analyze the operational dynamics of informal businesses and MSMEs in the adventure tourism sector in the department, identifying management practices, digital promotion strategies, and factors associated with formalization and competitiveness. The research adopted a qualitative and exploratory approach, combining a systematic review and bibliometric analysis of academic literature, a digital content analysis of social media profiles of tour operators, and a review of grey literature and institutional reports, integrated through comparative triangulation. The results demonstrate the coexistence of two predominant approaches to digital promotion: a formal-business approach, characterized by professional and institutional discourse, and an informal-entrepreneurial approach, based on relatable and experiential narratives. Furthermore, it was identified that a higher volume of posts and followers does not guarantee higher levels of interaction; territorial identity and communicative tone are more decisive factors in community building. The study concludes that significant gaps persist in formalization and digital strategy, the understanding of which is key to strengthening the competitiveness and sustainability of adventure tourism in Santander.</w:t>
      </w:r>
    </w:p>
    <w:p w14:paraId="22A0C88B" w14:textId="77777777" w:rsidR="00994E45" w:rsidRPr="00372ED8" w:rsidRDefault="00994E45" w:rsidP="00994E45">
      <w:pPr>
        <w:ind w:left="568" w:hanging="284"/>
        <w:jc w:val="left"/>
        <w:rPr>
          <w:rFonts w:eastAsia="Times New Roman"/>
          <w:szCs w:val="24"/>
          <w:lang w:val="en-US" w:eastAsia="es-CO"/>
        </w:rPr>
      </w:pPr>
    </w:p>
    <w:p w14:paraId="554EDE3A" w14:textId="77777777" w:rsidR="00994E45" w:rsidRPr="00C63968" w:rsidRDefault="00994E45" w:rsidP="00EB7688">
      <w:pPr>
        <w:rPr>
          <w:lang w:val="en-US"/>
        </w:rPr>
      </w:pPr>
    </w:p>
    <w:p w14:paraId="295E153D" w14:textId="77777777" w:rsidR="00994E45" w:rsidRPr="009577AB" w:rsidRDefault="00994E45" w:rsidP="00994E45">
      <w:pPr>
        <w:pStyle w:val="Ttulo1"/>
      </w:pPr>
      <w:bookmarkStart w:id="2" w:name="_Toc105485809"/>
      <w:bookmarkStart w:id="3" w:name="_Toc182176435"/>
      <w:bookmarkStart w:id="4" w:name="_Toc218596589"/>
      <w:r w:rsidRPr="009577AB">
        <w:lastRenderedPageBreak/>
        <w:t>Introducción</w:t>
      </w:r>
    </w:p>
    <w:bookmarkEnd w:id="2"/>
    <w:bookmarkEnd w:id="3"/>
    <w:bookmarkEnd w:id="4"/>
    <w:p w14:paraId="3DE3CFC1" w14:textId="7F5BA2D0" w:rsidR="00C63968" w:rsidRDefault="00994E45" w:rsidP="00C63968">
      <w:pPr>
        <w:pStyle w:val="Sinespaciado"/>
        <w:spacing w:line="360" w:lineRule="auto"/>
      </w:pPr>
      <w:r>
        <w:t xml:space="preserve">El turismo de aventura (frecuentemente incluido con el ecoturismo y el turismo de naturaleza) ha cobrado relevancia mundial como estrategia de diversificación económica y de desarrollo territorial sostenible, especialmente en países y regiones con alta dotación de recursos naturales y culturales (Organización Mundial del Turismo [OMT], 2022; Hall, 2011). En Colombia, y en particular en el departamento de Santander, este segmento se ha consolidado alrededor de destinos emblemáticos como el Cañón del Chicamocha, San Gil y Barichara, donde la oferta se organiza mayoritariamente a través de micro, pequeñas y medianas empresas (MiPymes) de carácter local (Fontur, 2022). </w:t>
      </w:r>
    </w:p>
    <w:p w14:paraId="67A5E9F7" w14:textId="1D8AAA27" w:rsidR="00994E45" w:rsidRDefault="00C63968" w:rsidP="00C63968">
      <w:pPr>
        <w:pStyle w:val="Sinespaciado"/>
        <w:spacing w:line="360" w:lineRule="auto"/>
      </w:pPr>
      <w:r>
        <w:t xml:space="preserve">EN el departamento se evidencia </w:t>
      </w:r>
      <w:r w:rsidR="00994E45">
        <w:t xml:space="preserve">la coexistencia de operadores formalizados con prestadores informales (guías independientes, anfitriones rurales, emprendimientos sin Registro Nacional de Turismo) configura un ecosistema heterogéneo donde convergen prácticas de gestión muy dispares, grados variables de cumplimiento normativo y estrategias de comercialización, cada vez más mediadas por plataformas digitales (International </w:t>
      </w:r>
      <w:proofErr w:type="spellStart"/>
      <w:r w:rsidR="00994E45">
        <w:t>Labour</w:t>
      </w:r>
      <w:proofErr w:type="spellEnd"/>
      <w:r w:rsidR="00994E45">
        <w:t xml:space="preserve"> </w:t>
      </w:r>
      <w:proofErr w:type="spellStart"/>
      <w:r w:rsidR="00994E45">
        <w:t>Organization</w:t>
      </w:r>
      <w:proofErr w:type="spellEnd"/>
      <w:r w:rsidR="00994E45">
        <w:t xml:space="preserve"> [ILO], 2015; </w:t>
      </w:r>
      <w:proofErr w:type="spellStart"/>
      <w:r w:rsidR="00994E45">
        <w:t>Xiang</w:t>
      </w:r>
      <w:proofErr w:type="spellEnd"/>
      <w:r w:rsidR="00994E45">
        <w:t xml:space="preserve"> &amp; </w:t>
      </w:r>
      <w:proofErr w:type="spellStart"/>
      <w:r w:rsidR="00994E45">
        <w:t>Gretzel</w:t>
      </w:r>
      <w:proofErr w:type="spellEnd"/>
      <w:r w:rsidR="00994E45">
        <w:t xml:space="preserve">, 2010). Esta dualidad plantea retos para la calidad, la seguridad de las actividades de aventura y la sostenibilidad, al tiempo que tensiona los esfuerzos regionales por elevar la competitividad del destino en los marcos de referencia nacionales y globales (Centro de Pensamiento Turístico de Colombia [CPTUR], 2024; </w:t>
      </w:r>
      <w:proofErr w:type="spellStart"/>
      <w:r w:rsidR="00994E45">
        <w:t>World</w:t>
      </w:r>
      <w:proofErr w:type="spellEnd"/>
      <w:r w:rsidR="00994E45">
        <w:t xml:space="preserve"> </w:t>
      </w:r>
      <w:proofErr w:type="spellStart"/>
      <w:r w:rsidR="00994E45">
        <w:t>Economic</w:t>
      </w:r>
      <w:proofErr w:type="spellEnd"/>
      <w:r w:rsidR="00994E45">
        <w:t xml:space="preserve"> </w:t>
      </w:r>
      <w:proofErr w:type="spellStart"/>
      <w:r w:rsidR="00994E45">
        <w:t>Forum</w:t>
      </w:r>
      <w:proofErr w:type="spellEnd"/>
      <w:r w:rsidR="00994E45">
        <w:t xml:space="preserve"> [WEF], 2024).</w:t>
      </w:r>
    </w:p>
    <w:p w14:paraId="50D6781A" w14:textId="77777777" w:rsidR="00994E45" w:rsidRDefault="00994E45" w:rsidP="00C63968">
      <w:pPr>
        <w:pStyle w:val="Sinespaciado"/>
        <w:spacing w:line="360" w:lineRule="auto"/>
      </w:pPr>
      <w:r>
        <w:t xml:space="preserve">Bajo este escenario, el propósito de esta investigación es analizar las empresas informales y las MiPymes del turismo de aventura en Santander, identificando prácticas de gestión, estructuras de operación y estrategias de sostenibilidad que inciden en su competitividad y formalización. Para lograrlo, se propone un diseño metodológico en cinco fases: Una revisión sistemática y análisis bibliométrico de literatura científica sobre turismo de aventura y gestión de MiPymes en economías emergentes, siguiendo PRISMA y pautas de </w:t>
      </w:r>
      <w:proofErr w:type="spellStart"/>
      <w:r>
        <w:t>Kitchenham</w:t>
      </w:r>
      <w:proofErr w:type="spellEnd"/>
      <w:r>
        <w:t xml:space="preserve"> (</w:t>
      </w:r>
      <w:proofErr w:type="spellStart"/>
      <w:r>
        <w:t>Moher</w:t>
      </w:r>
      <w:proofErr w:type="spellEnd"/>
      <w:r>
        <w:t xml:space="preserve">, </w:t>
      </w:r>
      <w:proofErr w:type="spellStart"/>
      <w:r>
        <w:t>Liberati</w:t>
      </w:r>
      <w:proofErr w:type="spellEnd"/>
      <w:r>
        <w:t xml:space="preserve">, </w:t>
      </w:r>
      <w:proofErr w:type="spellStart"/>
      <w:r>
        <w:t>Tetzlaff</w:t>
      </w:r>
      <w:proofErr w:type="spellEnd"/>
      <w:r>
        <w:t xml:space="preserve"> &amp; Altman, 2009; Kitchenham, 2004); un análisis de contenido digital de perfiles y piezas públicas en redes sociales de operadores formales e informales en Santander (Krippendorff, 2018); una revisión de literatura gris y fuentes institucionales (incluida normativa nacional y planes/diagnósticos regionales) para mapear barreras e incentivos a la formalización; una  triangulación comparativa de hallazgos entre las tres fuentes; y la síntesis de resultados en un artículo académico publicable.</w:t>
      </w:r>
    </w:p>
    <w:p w14:paraId="12F052CB" w14:textId="77777777" w:rsidR="00A903AE" w:rsidRPr="00994E45" w:rsidRDefault="00A903AE" w:rsidP="00A903AE">
      <w:pPr>
        <w:spacing w:line="240" w:lineRule="auto"/>
        <w:ind w:firstLine="0"/>
        <w:jc w:val="left"/>
      </w:pPr>
    </w:p>
    <w:p w14:paraId="03B38296" w14:textId="1BBEC637" w:rsidR="009577AB" w:rsidRDefault="009577AB" w:rsidP="00994E45">
      <w:pPr>
        <w:pStyle w:val="Ttulo1"/>
      </w:pPr>
      <w:r w:rsidRPr="009577AB">
        <w:lastRenderedPageBreak/>
        <w:t>Metodología</w:t>
      </w:r>
    </w:p>
    <w:p w14:paraId="0F122D58" w14:textId="77777777" w:rsidR="00994E45" w:rsidRDefault="00994E45" w:rsidP="00C63968">
      <w:pPr>
        <w:pStyle w:val="Sinespaciado"/>
        <w:spacing w:line="360" w:lineRule="auto"/>
      </w:pPr>
      <w:r w:rsidRPr="005923D9">
        <w:t xml:space="preserve">La investigación adopta un </w:t>
      </w:r>
      <w:r w:rsidRPr="005923D9">
        <w:rPr>
          <w:rStyle w:val="Textoennegrita"/>
          <w:b w:val="0"/>
          <w:bCs/>
        </w:rPr>
        <w:t>enfoque cualitativo y exploratorio</w:t>
      </w:r>
      <w:r w:rsidRPr="005923D9">
        <w:t>, orientado a comprender las dinámicas de operación de los oferentes informales y las MiPymes del sector de turismo de aventura en Santander. Dado el carácter emergente del fenómeno y la escasa producción científica sobre el contexto local, se combinarán métodos de revisión documental, análisis de contenido digital y triangulación comparativa.</w:t>
      </w:r>
    </w:p>
    <w:p w14:paraId="47622F08" w14:textId="1CCA1EF3" w:rsidR="00994E45" w:rsidRPr="005923D9" w:rsidRDefault="00994E45" w:rsidP="00C63968">
      <w:pPr>
        <w:pStyle w:val="Sinespaciado"/>
        <w:spacing w:line="360" w:lineRule="auto"/>
      </w:pPr>
      <w:r w:rsidRPr="005923D9">
        <w:t>La metodología propuesta está articulada en</w:t>
      </w:r>
      <w:r>
        <w:t xml:space="preserve"> cuatro</w:t>
      </w:r>
      <w:r w:rsidRPr="005923D9">
        <w:t xml:space="preserve"> fases secuenciales</w:t>
      </w:r>
      <w:r w:rsidR="00C63968">
        <w:t xml:space="preserve"> descritas a continuación.</w:t>
      </w:r>
    </w:p>
    <w:p w14:paraId="253F33BC" w14:textId="1CAD88D8" w:rsidR="00994E45" w:rsidRDefault="00994E45" w:rsidP="00994E45">
      <w:pPr>
        <w:pStyle w:val="Ttulo2"/>
      </w:pPr>
      <w:bookmarkStart w:id="5" w:name="_Toc218596608"/>
      <w:r>
        <w:rPr>
          <w:rStyle w:val="Textoennegrita"/>
          <w:b/>
          <w:bCs w:val="0"/>
        </w:rPr>
        <w:t>Revisión sistemática de literatura académica</w:t>
      </w:r>
      <w:bookmarkEnd w:id="5"/>
    </w:p>
    <w:p w14:paraId="04B067AD" w14:textId="77777777" w:rsidR="00994E45" w:rsidRPr="005923D9" w:rsidRDefault="00994E45" w:rsidP="00C63968">
      <w:pPr>
        <w:pStyle w:val="Sinespaciado"/>
        <w:spacing w:line="360" w:lineRule="auto"/>
      </w:pPr>
      <w:r w:rsidRPr="005923D9">
        <w:t xml:space="preserve">Esta primera fase tiene como propósito </w:t>
      </w:r>
      <w:r w:rsidRPr="005923D9">
        <w:rPr>
          <w:rStyle w:val="Textoennegrita"/>
          <w:b w:val="0"/>
          <w:bCs/>
        </w:rPr>
        <w:t>identificar los principales enfoques, modelos de gestión y factores asociados a la formalización y operación de MiPymes en el turismo de aventura y sectores análogos</w:t>
      </w:r>
      <w:r w:rsidRPr="005923D9">
        <w:t>.</w:t>
      </w:r>
      <w:r>
        <w:t xml:space="preserve"> </w:t>
      </w:r>
      <w:r w:rsidRPr="005923D9">
        <w:t xml:space="preserve">Para ello se lleva a cabo una </w:t>
      </w:r>
      <w:r w:rsidRPr="005923D9">
        <w:rPr>
          <w:rStyle w:val="Textoennegrita"/>
          <w:b w:val="0"/>
          <w:bCs/>
        </w:rPr>
        <w:t xml:space="preserve">revisión sistemática de literatura </w:t>
      </w:r>
      <w:r w:rsidRPr="005923D9">
        <w:t xml:space="preserve">siguiendo los lineamientos del protocolo </w:t>
      </w:r>
      <w:r w:rsidRPr="005923D9">
        <w:rPr>
          <w:rStyle w:val="Textoennegrita"/>
          <w:b w:val="0"/>
          <w:bCs/>
        </w:rPr>
        <w:t>PRISMA</w:t>
      </w:r>
      <w:r w:rsidRPr="005923D9">
        <w:t xml:space="preserve"> (</w:t>
      </w:r>
      <w:proofErr w:type="spellStart"/>
      <w:r w:rsidRPr="005923D9">
        <w:rPr>
          <w:rStyle w:val="nfasis"/>
          <w:i w:val="0"/>
          <w:iCs w:val="0"/>
        </w:rPr>
        <w:t>Preferred</w:t>
      </w:r>
      <w:proofErr w:type="spellEnd"/>
      <w:r w:rsidRPr="005923D9">
        <w:rPr>
          <w:rStyle w:val="nfasis"/>
          <w:i w:val="0"/>
          <w:iCs w:val="0"/>
        </w:rPr>
        <w:t xml:space="preserve"> </w:t>
      </w:r>
      <w:proofErr w:type="spellStart"/>
      <w:r w:rsidRPr="005923D9">
        <w:rPr>
          <w:rStyle w:val="nfasis"/>
          <w:i w:val="0"/>
          <w:iCs w:val="0"/>
        </w:rPr>
        <w:t>Reporting</w:t>
      </w:r>
      <w:proofErr w:type="spellEnd"/>
      <w:r w:rsidRPr="005923D9">
        <w:rPr>
          <w:rStyle w:val="nfasis"/>
          <w:i w:val="0"/>
          <w:iCs w:val="0"/>
        </w:rPr>
        <w:t xml:space="preserve"> </w:t>
      </w:r>
      <w:proofErr w:type="spellStart"/>
      <w:r w:rsidRPr="005923D9">
        <w:rPr>
          <w:rStyle w:val="nfasis"/>
          <w:i w:val="0"/>
          <w:iCs w:val="0"/>
        </w:rPr>
        <w:t>Items</w:t>
      </w:r>
      <w:proofErr w:type="spellEnd"/>
      <w:r w:rsidRPr="005923D9">
        <w:rPr>
          <w:rStyle w:val="nfasis"/>
          <w:i w:val="0"/>
          <w:iCs w:val="0"/>
        </w:rPr>
        <w:t xml:space="preserve"> </w:t>
      </w:r>
      <w:proofErr w:type="spellStart"/>
      <w:r w:rsidRPr="005923D9">
        <w:rPr>
          <w:rStyle w:val="nfasis"/>
          <w:i w:val="0"/>
          <w:iCs w:val="0"/>
        </w:rPr>
        <w:t>for</w:t>
      </w:r>
      <w:proofErr w:type="spellEnd"/>
      <w:r w:rsidRPr="005923D9">
        <w:rPr>
          <w:rStyle w:val="nfasis"/>
          <w:i w:val="0"/>
          <w:iCs w:val="0"/>
        </w:rPr>
        <w:t xml:space="preserve"> Systematic Reviews and Meta-Analyses</w:t>
      </w:r>
      <w:r w:rsidRPr="005923D9">
        <w:t>; Moher et al., 2009), que garantiza trazabilidad, transparencia y reproducibilidad del proceso.</w:t>
      </w:r>
    </w:p>
    <w:p w14:paraId="7E860A0C" w14:textId="77777777" w:rsidR="00994E45" w:rsidRDefault="00994E45" w:rsidP="00C63968">
      <w:pPr>
        <w:pStyle w:val="Sinespaciado"/>
        <w:spacing w:line="360" w:lineRule="auto"/>
      </w:pPr>
      <w:r>
        <w:rPr>
          <w:rStyle w:val="Textoennegrita"/>
          <w:b w:val="0"/>
          <w:bCs/>
        </w:rPr>
        <w:t xml:space="preserve">Como base metodológica para la revisión, </w:t>
      </w:r>
      <w:r>
        <w:t>se sigue la estructura propuesta por Barbara Kitchenham (2004). En esta se detallan las fases y etapas necesarias para cumplir con los estándares metodológicos, con el fin de asegurar la rigurosidad y la calidad del análisis.</w:t>
      </w:r>
    </w:p>
    <w:p w14:paraId="33CCEEF3" w14:textId="50F1BD3D" w:rsidR="00994E45" w:rsidRPr="00F05313" w:rsidRDefault="00994E45" w:rsidP="00994E45">
      <w:pPr>
        <w:pStyle w:val="Descripcin"/>
        <w:spacing w:after="0" w:line="480" w:lineRule="auto"/>
        <w:rPr>
          <w:b w:val="0"/>
          <w:bCs w:val="0"/>
          <w:i/>
          <w:iCs/>
        </w:rPr>
      </w:pPr>
      <w:bookmarkStart w:id="6" w:name="_Toc218529123"/>
      <w:r w:rsidRPr="00D74394">
        <w:t xml:space="preserve">Tabla </w:t>
      </w:r>
      <w:r w:rsidR="00084DA0">
        <w:fldChar w:fldCharType="begin"/>
      </w:r>
      <w:r w:rsidR="00084DA0">
        <w:instrText xml:space="preserve"> SEQ Tabla \* ARABIC </w:instrText>
      </w:r>
      <w:r w:rsidR="00084DA0">
        <w:fldChar w:fldCharType="separate"/>
      </w:r>
      <w:r w:rsidR="005A45A4">
        <w:rPr>
          <w:noProof/>
        </w:rPr>
        <w:t>1</w:t>
      </w:r>
      <w:r w:rsidR="00084DA0">
        <w:rPr>
          <w:noProof/>
        </w:rPr>
        <w:fldChar w:fldCharType="end"/>
      </w:r>
      <w:r w:rsidRPr="00D74394">
        <w:t xml:space="preserve">. </w:t>
      </w:r>
      <w:r>
        <w:br/>
      </w:r>
      <w:r w:rsidRPr="00F05313">
        <w:rPr>
          <w:b w:val="0"/>
          <w:bCs w:val="0"/>
          <w:i/>
          <w:iCs/>
        </w:rPr>
        <w:t>Protocolo de Revisión Sistemática</w:t>
      </w:r>
      <w:bookmarkEnd w:id="6"/>
    </w:p>
    <w:tbl>
      <w:tblPr>
        <w:tblStyle w:val="Tabladelista6concolores1"/>
        <w:tblW w:w="5000" w:type="pct"/>
        <w:jc w:val="center"/>
        <w:tblLook w:val="04A0" w:firstRow="1" w:lastRow="0" w:firstColumn="1" w:lastColumn="0" w:noHBand="0" w:noVBand="1"/>
      </w:tblPr>
      <w:tblGrid>
        <w:gridCol w:w="1640"/>
        <w:gridCol w:w="7720"/>
      </w:tblGrid>
      <w:tr w:rsidR="00994E45" w:rsidRPr="00760182" w14:paraId="5FEA56CC" w14:textId="77777777" w:rsidTr="00831F1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6" w:type="pct"/>
            <w:hideMark/>
          </w:tcPr>
          <w:p w14:paraId="57F7AD87" w14:textId="77777777" w:rsidR="00994E45" w:rsidRPr="009C479F" w:rsidRDefault="00994E45" w:rsidP="00831F13">
            <w:pPr>
              <w:spacing w:line="240" w:lineRule="auto"/>
              <w:ind w:firstLine="0"/>
              <w:jc w:val="center"/>
              <w:rPr>
                <w:rFonts w:ascii="Times New Roman" w:hAnsi="Times New Roman"/>
                <w:sz w:val="22"/>
                <w:szCs w:val="20"/>
              </w:rPr>
            </w:pPr>
            <w:r w:rsidRPr="009C479F">
              <w:rPr>
                <w:rFonts w:ascii="Times New Roman" w:hAnsi="Times New Roman"/>
                <w:sz w:val="22"/>
                <w:szCs w:val="20"/>
              </w:rPr>
              <w:t>Etapa</w:t>
            </w:r>
          </w:p>
        </w:tc>
        <w:tc>
          <w:tcPr>
            <w:tcW w:w="4124" w:type="pct"/>
            <w:vAlign w:val="center"/>
            <w:hideMark/>
          </w:tcPr>
          <w:p w14:paraId="53C8F84C" w14:textId="77777777" w:rsidR="00994E45" w:rsidRPr="009C479F" w:rsidRDefault="00994E45"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22"/>
                <w:szCs w:val="20"/>
              </w:rPr>
            </w:pPr>
            <w:r w:rsidRPr="009C479F">
              <w:rPr>
                <w:rFonts w:ascii="Times New Roman" w:hAnsi="Times New Roman"/>
                <w:sz w:val="22"/>
                <w:szCs w:val="20"/>
              </w:rPr>
              <w:t>Protocolo de Revisión Sistemática</w:t>
            </w:r>
          </w:p>
        </w:tc>
      </w:tr>
      <w:tr w:rsidR="00994E45" w:rsidRPr="00760182" w14:paraId="55A9627F" w14:textId="77777777" w:rsidTr="00831F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6" w:type="pct"/>
            <w:vMerge w:val="restart"/>
            <w:hideMark/>
          </w:tcPr>
          <w:p w14:paraId="3C10AC1F" w14:textId="77777777" w:rsidR="00994E45" w:rsidRPr="009C479F" w:rsidRDefault="00994E45" w:rsidP="00831F13">
            <w:pPr>
              <w:spacing w:line="240" w:lineRule="auto"/>
              <w:ind w:firstLine="0"/>
              <w:jc w:val="center"/>
              <w:rPr>
                <w:rFonts w:ascii="Times New Roman" w:hAnsi="Times New Roman"/>
                <w:b w:val="0"/>
                <w:bCs w:val="0"/>
                <w:sz w:val="22"/>
                <w:szCs w:val="20"/>
              </w:rPr>
            </w:pPr>
            <w:r w:rsidRPr="009C479F">
              <w:rPr>
                <w:rStyle w:val="Textoennegrita"/>
                <w:rFonts w:ascii="Times New Roman" w:hAnsi="Times New Roman"/>
                <w:b/>
                <w:bCs/>
                <w:sz w:val="22"/>
                <w:szCs w:val="20"/>
              </w:rPr>
              <w:t>Etapa 1</w:t>
            </w:r>
          </w:p>
        </w:tc>
        <w:tc>
          <w:tcPr>
            <w:tcW w:w="4124" w:type="pct"/>
            <w:hideMark/>
          </w:tcPr>
          <w:p w14:paraId="66A7FD32" w14:textId="77777777" w:rsidR="00994E45" w:rsidRPr="00760182" w:rsidRDefault="00994E45"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22"/>
                <w:szCs w:val="20"/>
              </w:rPr>
            </w:pPr>
            <w:r w:rsidRPr="00760182">
              <w:rPr>
                <w:rFonts w:ascii="Times New Roman" w:hAnsi="Times New Roman"/>
                <w:sz w:val="22"/>
                <w:szCs w:val="20"/>
              </w:rPr>
              <w:t>Planificación de la revisión</w:t>
            </w:r>
          </w:p>
        </w:tc>
      </w:tr>
      <w:tr w:rsidR="00994E45" w:rsidRPr="00760182" w14:paraId="1F575342" w14:textId="77777777" w:rsidTr="00831F13">
        <w:trPr>
          <w:jc w:val="center"/>
        </w:trPr>
        <w:tc>
          <w:tcPr>
            <w:cnfStyle w:val="001000000000" w:firstRow="0" w:lastRow="0" w:firstColumn="1" w:lastColumn="0" w:oddVBand="0" w:evenVBand="0" w:oddHBand="0" w:evenHBand="0" w:firstRowFirstColumn="0" w:firstRowLastColumn="0" w:lastRowFirstColumn="0" w:lastRowLastColumn="0"/>
            <w:tcW w:w="876" w:type="pct"/>
            <w:vMerge/>
            <w:hideMark/>
          </w:tcPr>
          <w:p w14:paraId="5E347B3A" w14:textId="77777777" w:rsidR="00994E45" w:rsidRPr="009C479F" w:rsidRDefault="00994E45" w:rsidP="00831F13">
            <w:pPr>
              <w:spacing w:line="240" w:lineRule="auto"/>
              <w:ind w:firstLine="0"/>
              <w:jc w:val="center"/>
              <w:rPr>
                <w:rFonts w:ascii="Times New Roman" w:hAnsi="Times New Roman"/>
                <w:sz w:val="22"/>
                <w:szCs w:val="20"/>
              </w:rPr>
            </w:pPr>
          </w:p>
        </w:tc>
        <w:tc>
          <w:tcPr>
            <w:tcW w:w="4124" w:type="pct"/>
            <w:hideMark/>
          </w:tcPr>
          <w:p w14:paraId="1E6838CA" w14:textId="77777777" w:rsidR="00994E45" w:rsidRPr="00760182" w:rsidRDefault="00994E45"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22"/>
                <w:szCs w:val="20"/>
              </w:rPr>
            </w:pPr>
            <w:r w:rsidRPr="00760182">
              <w:rPr>
                <w:rFonts w:ascii="Times New Roman" w:hAnsi="Times New Roman"/>
                <w:sz w:val="22"/>
                <w:szCs w:val="20"/>
              </w:rPr>
              <w:t>- Identificación de la necesidad de una revisión</w:t>
            </w:r>
          </w:p>
        </w:tc>
      </w:tr>
      <w:tr w:rsidR="00994E45" w:rsidRPr="00760182" w14:paraId="08EBB677" w14:textId="77777777" w:rsidTr="00831F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6" w:type="pct"/>
            <w:vMerge/>
            <w:hideMark/>
          </w:tcPr>
          <w:p w14:paraId="7421D574" w14:textId="77777777" w:rsidR="00994E45" w:rsidRPr="009C479F" w:rsidRDefault="00994E45" w:rsidP="00831F13">
            <w:pPr>
              <w:spacing w:line="240" w:lineRule="auto"/>
              <w:ind w:firstLine="0"/>
              <w:jc w:val="center"/>
              <w:rPr>
                <w:rFonts w:ascii="Times New Roman" w:hAnsi="Times New Roman"/>
                <w:sz w:val="22"/>
                <w:szCs w:val="20"/>
              </w:rPr>
            </w:pPr>
          </w:p>
        </w:tc>
        <w:tc>
          <w:tcPr>
            <w:tcW w:w="4124" w:type="pct"/>
            <w:hideMark/>
          </w:tcPr>
          <w:p w14:paraId="5106B21C" w14:textId="77777777" w:rsidR="00994E45" w:rsidRPr="00760182" w:rsidRDefault="00994E45"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22"/>
                <w:szCs w:val="20"/>
              </w:rPr>
            </w:pPr>
            <w:r w:rsidRPr="00760182">
              <w:rPr>
                <w:rFonts w:ascii="Times New Roman" w:hAnsi="Times New Roman"/>
                <w:sz w:val="22"/>
                <w:szCs w:val="20"/>
              </w:rPr>
              <w:t>- Especificación de la pregunta de investigación</w:t>
            </w:r>
          </w:p>
        </w:tc>
      </w:tr>
      <w:tr w:rsidR="00994E45" w:rsidRPr="00760182" w14:paraId="653D02E0" w14:textId="77777777" w:rsidTr="00831F13">
        <w:trPr>
          <w:jc w:val="center"/>
        </w:trPr>
        <w:tc>
          <w:tcPr>
            <w:cnfStyle w:val="001000000000" w:firstRow="0" w:lastRow="0" w:firstColumn="1" w:lastColumn="0" w:oddVBand="0" w:evenVBand="0" w:oddHBand="0" w:evenHBand="0" w:firstRowFirstColumn="0" w:firstRowLastColumn="0" w:lastRowFirstColumn="0" w:lastRowLastColumn="0"/>
            <w:tcW w:w="876" w:type="pct"/>
            <w:vMerge/>
            <w:hideMark/>
          </w:tcPr>
          <w:p w14:paraId="55C3A1FC" w14:textId="77777777" w:rsidR="00994E45" w:rsidRPr="009C479F" w:rsidRDefault="00994E45" w:rsidP="00831F13">
            <w:pPr>
              <w:spacing w:line="240" w:lineRule="auto"/>
              <w:ind w:firstLine="0"/>
              <w:jc w:val="center"/>
              <w:rPr>
                <w:rFonts w:ascii="Times New Roman" w:hAnsi="Times New Roman"/>
                <w:sz w:val="22"/>
                <w:szCs w:val="20"/>
              </w:rPr>
            </w:pPr>
          </w:p>
        </w:tc>
        <w:tc>
          <w:tcPr>
            <w:tcW w:w="4124" w:type="pct"/>
            <w:hideMark/>
          </w:tcPr>
          <w:p w14:paraId="4D2A2793" w14:textId="77777777" w:rsidR="00994E45" w:rsidRPr="00760182" w:rsidRDefault="00994E45"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22"/>
                <w:szCs w:val="20"/>
              </w:rPr>
            </w:pPr>
            <w:r w:rsidRPr="00760182">
              <w:rPr>
                <w:rFonts w:ascii="Times New Roman" w:hAnsi="Times New Roman"/>
                <w:sz w:val="22"/>
                <w:szCs w:val="20"/>
              </w:rPr>
              <w:t>- Desarrollo de un protocolo de revisión</w:t>
            </w:r>
          </w:p>
        </w:tc>
      </w:tr>
      <w:tr w:rsidR="00994E45" w:rsidRPr="00760182" w14:paraId="64C5BF77" w14:textId="77777777" w:rsidTr="00831F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6" w:type="pct"/>
            <w:vMerge w:val="restart"/>
            <w:hideMark/>
          </w:tcPr>
          <w:p w14:paraId="70A4285C" w14:textId="77777777" w:rsidR="00994E45" w:rsidRPr="009C479F" w:rsidRDefault="00994E45" w:rsidP="00831F13">
            <w:pPr>
              <w:spacing w:line="240" w:lineRule="auto"/>
              <w:ind w:firstLine="0"/>
              <w:jc w:val="center"/>
              <w:rPr>
                <w:rFonts w:ascii="Times New Roman" w:hAnsi="Times New Roman"/>
                <w:b w:val="0"/>
                <w:bCs w:val="0"/>
                <w:sz w:val="22"/>
                <w:szCs w:val="20"/>
              </w:rPr>
            </w:pPr>
            <w:r w:rsidRPr="009C479F">
              <w:rPr>
                <w:rStyle w:val="Textoennegrita"/>
                <w:rFonts w:ascii="Times New Roman" w:hAnsi="Times New Roman"/>
                <w:b/>
                <w:bCs/>
                <w:sz w:val="22"/>
                <w:szCs w:val="20"/>
              </w:rPr>
              <w:t>Etapa 2</w:t>
            </w:r>
          </w:p>
        </w:tc>
        <w:tc>
          <w:tcPr>
            <w:tcW w:w="4124" w:type="pct"/>
            <w:hideMark/>
          </w:tcPr>
          <w:p w14:paraId="64AD3B38" w14:textId="77777777" w:rsidR="00994E45" w:rsidRPr="00760182" w:rsidRDefault="00994E45"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22"/>
                <w:szCs w:val="20"/>
              </w:rPr>
            </w:pPr>
            <w:r w:rsidRPr="00760182">
              <w:rPr>
                <w:rFonts w:ascii="Times New Roman" w:hAnsi="Times New Roman"/>
                <w:sz w:val="22"/>
                <w:szCs w:val="20"/>
              </w:rPr>
              <w:t>Ejecución de la revisión</w:t>
            </w:r>
          </w:p>
        </w:tc>
      </w:tr>
      <w:tr w:rsidR="00994E45" w:rsidRPr="00760182" w14:paraId="53CFC6FE" w14:textId="77777777" w:rsidTr="00831F13">
        <w:trPr>
          <w:jc w:val="center"/>
        </w:trPr>
        <w:tc>
          <w:tcPr>
            <w:cnfStyle w:val="001000000000" w:firstRow="0" w:lastRow="0" w:firstColumn="1" w:lastColumn="0" w:oddVBand="0" w:evenVBand="0" w:oddHBand="0" w:evenHBand="0" w:firstRowFirstColumn="0" w:firstRowLastColumn="0" w:lastRowFirstColumn="0" w:lastRowLastColumn="0"/>
            <w:tcW w:w="876" w:type="pct"/>
            <w:vMerge/>
            <w:hideMark/>
          </w:tcPr>
          <w:p w14:paraId="114F1632" w14:textId="77777777" w:rsidR="00994E45" w:rsidRPr="009C479F" w:rsidRDefault="00994E45" w:rsidP="00831F13">
            <w:pPr>
              <w:spacing w:line="240" w:lineRule="auto"/>
              <w:ind w:firstLine="0"/>
              <w:jc w:val="center"/>
              <w:rPr>
                <w:rFonts w:ascii="Times New Roman" w:hAnsi="Times New Roman"/>
                <w:sz w:val="22"/>
                <w:szCs w:val="20"/>
              </w:rPr>
            </w:pPr>
          </w:p>
        </w:tc>
        <w:tc>
          <w:tcPr>
            <w:tcW w:w="4124" w:type="pct"/>
            <w:hideMark/>
          </w:tcPr>
          <w:p w14:paraId="2213271A" w14:textId="77777777" w:rsidR="00994E45" w:rsidRPr="00760182" w:rsidRDefault="00994E45"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22"/>
                <w:szCs w:val="20"/>
              </w:rPr>
            </w:pPr>
            <w:r w:rsidRPr="00760182">
              <w:rPr>
                <w:rFonts w:ascii="Times New Roman" w:hAnsi="Times New Roman"/>
                <w:sz w:val="22"/>
                <w:szCs w:val="20"/>
              </w:rPr>
              <w:t>- Identificación de la investigación</w:t>
            </w:r>
          </w:p>
        </w:tc>
      </w:tr>
      <w:tr w:rsidR="00994E45" w:rsidRPr="00760182" w14:paraId="5D094786" w14:textId="77777777" w:rsidTr="00831F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6" w:type="pct"/>
            <w:vMerge/>
            <w:hideMark/>
          </w:tcPr>
          <w:p w14:paraId="6511E11A" w14:textId="77777777" w:rsidR="00994E45" w:rsidRPr="009C479F" w:rsidRDefault="00994E45" w:rsidP="00831F13">
            <w:pPr>
              <w:spacing w:line="240" w:lineRule="auto"/>
              <w:ind w:firstLine="0"/>
              <w:jc w:val="center"/>
              <w:rPr>
                <w:rFonts w:ascii="Times New Roman" w:hAnsi="Times New Roman"/>
                <w:sz w:val="22"/>
                <w:szCs w:val="20"/>
              </w:rPr>
            </w:pPr>
          </w:p>
        </w:tc>
        <w:tc>
          <w:tcPr>
            <w:tcW w:w="4124" w:type="pct"/>
            <w:hideMark/>
          </w:tcPr>
          <w:p w14:paraId="79F592AF" w14:textId="77777777" w:rsidR="00994E45" w:rsidRPr="00760182" w:rsidRDefault="00994E45"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22"/>
                <w:szCs w:val="20"/>
              </w:rPr>
            </w:pPr>
            <w:r w:rsidRPr="00760182">
              <w:rPr>
                <w:rFonts w:ascii="Times New Roman" w:hAnsi="Times New Roman"/>
                <w:sz w:val="22"/>
                <w:szCs w:val="20"/>
              </w:rPr>
              <w:t>- Selección de estudios y artículos relevantes</w:t>
            </w:r>
          </w:p>
        </w:tc>
      </w:tr>
      <w:tr w:rsidR="00994E45" w:rsidRPr="00760182" w14:paraId="28821A85" w14:textId="77777777" w:rsidTr="00831F13">
        <w:trPr>
          <w:trHeight w:val="87"/>
          <w:jc w:val="center"/>
        </w:trPr>
        <w:tc>
          <w:tcPr>
            <w:cnfStyle w:val="001000000000" w:firstRow="0" w:lastRow="0" w:firstColumn="1" w:lastColumn="0" w:oddVBand="0" w:evenVBand="0" w:oddHBand="0" w:evenHBand="0" w:firstRowFirstColumn="0" w:firstRowLastColumn="0" w:lastRowFirstColumn="0" w:lastRowLastColumn="0"/>
            <w:tcW w:w="876" w:type="pct"/>
            <w:vMerge/>
            <w:hideMark/>
          </w:tcPr>
          <w:p w14:paraId="4809B493" w14:textId="77777777" w:rsidR="00994E45" w:rsidRPr="009C479F" w:rsidRDefault="00994E45" w:rsidP="00831F13">
            <w:pPr>
              <w:spacing w:line="240" w:lineRule="auto"/>
              <w:ind w:firstLine="0"/>
              <w:jc w:val="center"/>
              <w:rPr>
                <w:rFonts w:ascii="Times New Roman" w:hAnsi="Times New Roman"/>
                <w:sz w:val="22"/>
                <w:szCs w:val="20"/>
              </w:rPr>
            </w:pPr>
          </w:p>
        </w:tc>
        <w:tc>
          <w:tcPr>
            <w:tcW w:w="4124" w:type="pct"/>
            <w:hideMark/>
          </w:tcPr>
          <w:p w14:paraId="37613D86" w14:textId="77777777" w:rsidR="00994E45" w:rsidRPr="00760182" w:rsidRDefault="00994E45"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22"/>
                <w:szCs w:val="20"/>
              </w:rPr>
            </w:pPr>
            <w:r w:rsidRPr="00760182">
              <w:rPr>
                <w:rFonts w:ascii="Times New Roman" w:hAnsi="Times New Roman"/>
                <w:sz w:val="22"/>
                <w:szCs w:val="20"/>
              </w:rPr>
              <w:t>- Extracción, seguimiento y síntesis de los datos</w:t>
            </w:r>
          </w:p>
        </w:tc>
      </w:tr>
      <w:tr w:rsidR="00994E45" w:rsidRPr="00760182" w14:paraId="65A3214E" w14:textId="77777777" w:rsidTr="00831F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6" w:type="pct"/>
            <w:hideMark/>
          </w:tcPr>
          <w:p w14:paraId="224015D1" w14:textId="77777777" w:rsidR="00994E45" w:rsidRPr="009C479F" w:rsidRDefault="00994E45" w:rsidP="00831F13">
            <w:pPr>
              <w:spacing w:line="240" w:lineRule="auto"/>
              <w:ind w:firstLine="0"/>
              <w:jc w:val="center"/>
              <w:rPr>
                <w:rFonts w:ascii="Times New Roman" w:hAnsi="Times New Roman"/>
                <w:b w:val="0"/>
                <w:bCs w:val="0"/>
                <w:sz w:val="22"/>
                <w:szCs w:val="20"/>
              </w:rPr>
            </w:pPr>
            <w:r w:rsidRPr="009C479F">
              <w:rPr>
                <w:rStyle w:val="Textoennegrita"/>
                <w:rFonts w:ascii="Times New Roman" w:hAnsi="Times New Roman"/>
                <w:b/>
                <w:bCs/>
                <w:sz w:val="22"/>
                <w:szCs w:val="20"/>
              </w:rPr>
              <w:t>Etapa 3</w:t>
            </w:r>
          </w:p>
        </w:tc>
        <w:tc>
          <w:tcPr>
            <w:tcW w:w="4124" w:type="pct"/>
            <w:hideMark/>
          </w:tcPr>
          <w:p w14:paraId="0F91C0EE" w14:textId="77777777" w:rsidR="00994E45" w:rsidRPr="00760182" w:rsidRDefault="00994E45"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22"/>
                <w:szCs w:val="20"/>
              </w:rPr>
            </w:pPr>
            <w:r w:rsidRPr="00760182">
              <w:rPr>
                <w:rFonts w:ascii="Times New Roman" w:hAnsi="Times New Roman"/>
                <w:sz w:val="22"/>
                <w:szCs w:val="20"/>
              </w:rPr>
              <w:t>Informe de los resultados</w:t>
            </w:r>
          </w:p>
        </w:tc>
      </w:tr>
    </w:tbl>
    <w:p w14:paraId="3E41AC0A" w14:textId="77777777" w:rsidR="00994E45" w:rsidRDefault="00994E45" w:rsidP="00994E45">
      <w:pPr>
        <w:pStyle w:val="NormalWeb"/>
        <w:spacing w:line="480" w:lineRule="auto"/>
        <w:rPr>
          <w:sz w:val="20"/>
          <w:szCs w:val="20"/>
        </w:rPr>
      </w:pPr>
      <w:r w:rsidRPr="00623584">
        <w:rPr>
          <w:i/>
          <w:iCs/>
          <w:sz w:val="20"/>
          <w:szCs w:val="20"/>
        </w:rPr>
        <w:t>Nota</w:t>
      </w:r>
      <w:r w:rsidRPr="00760182">
        <w:rPr>
          <w:sz w:val="20"/>
          <w:szCs w:val="20"/>
        </w:rPr>
        <w:t xml:space="preserve">. </w:t>
      </w:r>
      <w:r>
        <w:rPr>
          <w:sz w:val="20"/>
          <w:szCs w:val="20"/>
        </w:rPr>
        <w:t>Realizado a partir del</w:t>
      </w:r>
      <w:r w:rsidRPr="00760182">
        <w:rPr>
          <w:sz w:val="20"/>
          <w:szCs w:val="20"/>
        </w:rPr>
        <w:t xml:space="preserve"> protocolo de revisión propuesto por Barbara Kitchenham, 2004.</w:t>
      </w:r>
    </w:p>
    <w:p w14:paraId="7871DB63" w14:textId="77777777" w:rsidR="00994E45" w:rsidRDefault="00994E45" w:rsidP="00C63968">
      <w:pPr>
        <w:pStyle w:val="Sinespaciado"/>
        <w:spacing w:line="360" w:lineRule="auto"/>
        <w:rPr>
          <w:rStyle w:val="Textoennegrita"/>
          <w:b w:val="0"/>
          <w:bCs/>
        </w:rPr>
      </w:pPr>
      <w:r w:rsidRPr="00185447">
        <w:rPr>
          <w:rStyle w:val="Textoennegrita"/>
          <w:b w:val="0"/>
          <w:bCs/>
        </w:rPr>
        <w:lastRenderedPageBreak/>
        <w:t>A partir de los resultados obtenidos se constru</w:t>
      </w:r>
      <w:r>
        <w:rPr>
          <w:rStyle w:val="Textoennegrita"/>
          <w:b w:val="0"/>
          <w:bCs/>
        </w:rPr>
        <w:t>ye</w:t>
      </w:r>
      <w:r w:rsidRPr="00185447">
        <w:rPr>
          <w:rStyle w:val="Textoennegrita"/>
          <w:b w:val="0"/>
          <w:bCs/>
        </w:rPr>
        <w:t xml:space="preserve"> una base conceptual sólida que permitirá identificar las principales tendencias, problemáticas y prácticas de referencia del sector. Este insumo servirá como punto de partida para contrastar los hallazgos de las fases siguientes y facilitar una triangulación integral y coherente de los resultados.</w:t>
      </w:r>
      <w:r>
        <w:rPr>
          <w:rStyle w:val="Textoennegrita"/>
          <w:b w:val="0"/>
          <w:bCs/>
        </w:rPr>
        <w:t xml:space="preserve"> </w:t>
      </w:r>
    </w:p>
    <w:p w14:paraId="42FA6A6A" w14:textId="77777777" w:rsidR="00994E45" w:rsidRPr="00185447" w:rsidRDefault="00994E45" w:rsidP="00C63968">
      <w:pPr>
        <w:pStyle w:val="Ttulo2"/>
        <w:spacing w:line="360" w:lineRule="auto"/>
      </w:pPr>
      <w:bookmarkStart w:id="7" w:name="_Toc218596609"/>
      <w:r w:rsidRPr="00185447">
        <w:rPr>
          <w:rStyle w:val="Ttulo2Car"/>
          <w:b/>
        </w:rPr>
        <w:t>Análisis de contenido digital en redes sociales (Objetivo Específico 2</w:t>
      </w:r>
      <w:r w:rsidRPr="00185447">
        <w:rPr>
          <w:rStyle w:val="Textoennegrita"/>
          <w:b/>
          <w:bCs w:val="0"/>
        </w:rPr>
        <w:t>)</w:t>
      </w:r>
      <w:bookmarkEnd w:id="7"/>
    </w:p>
    <w:p w14:paraId="1BD12B51" w14:textId="77777777" w:rsidR="00994E45" w:rsidRPr="00185447" w:rsidRDefault="00994E45" w:rsidP="00C63968">
      <w:pPr>
        <w:pStyle w:val="Sinespaciado"/>
        <w:spacing w:line="360" w:lineRule="auto"/>
      </w:pPr>
      <w:r w:rsidRPr="00185447">
        <w:t xml:space="preserve">La segunda fase busca </w:t>
      </w:r>
      <w:r w:rsidRPr="00185447">
        <w:rPr>
          <w:rStyle w:val="Textoennegrita"/>
          <w:b w:val="0"/>
          <w:bCs/>
        </w:rPr>
        <w:t>analizar la dinámica de promoción digital y visibilización de servicios turísticos de aventura en Santander</w:t>
      </w:r>
      <w:r w:rsidRPr="00185447">
        <w:t>, considerando tanto la oferta de empresas formalizadas como la de operadores informales activos en redes sociales.</w:t>
      </w:r>
      <w:r>
        <w:t xml:space="preserve"> </w:t>
      </w:r>
      <w:r w:rsidRPr="00185447">
        <w:t xml:space="preserve">Para ello se utiliza la técnica de </w:t>
      </w:r>
      <w:r w:rsidRPr="00185447">
        <w:rPr>
          <w:rStyle w:val="Textoennegrita"/>
          <w:b w:val="0"/>
          <w:bCs/>
        </w:rPr>
        <w:t>análisis de contenido digital</w:t>
      </w:r>
      <w:r w:rsidRPr="00185447">
        <w:t xml:space="preserve"> (</w:t>
      </w:r>
      <w:r w:rsidRPr="00185447">
        <w:rPr>
          <w:rStyle w:val="nfasis"/>
          <w:i w:val="0"/>
          <w:iCs w:val="0"/>
        </w:rPr>
        <w:t>Digital Content Analysis</w:t>
      </w:r>
      <w:r w:rsidRPr="00185447">
        <w:t xml:space="preserve">) descrita por Krippendorff (2018), adaptada a entornos digitales. Esta técnica permite examinar mensajes públicos difundidos en redes sociales mediante un proceso sistemático de </w:t>
      </w:r>
      <w:r w:rsidRPr="00185447">
        <w:rPr>
          <w:rStyle w:val="Textoennegrita"/>
          <w:b w:val="0"/>
          <w:bCs/>
        </w:rPr>
        <w:t>observación, categorización y codificación temática</w:t>
      </w:r>
      <w:r w:rsidRPr="00185447">
        <w:t>.</w:t>
      </w:r>
    </w:p>
    <w:p w14:paraId="2CE28CF4" w14:textId="34C2DB5D" w:rsidR="00994E45" w:rsidRPr="00185447" w:rsidRDefault="00994E45" w:rsidP="00C63968">
      <w:pPr>
        <w:pStyle w:val="Sinespaciado"/>
        <w:spacing w:line="360" w:lineRule="auto"/>
      </w:pPr>
      <w:r w:rsidRPr="00185447">
        <w:t xml:space="preserve">El resultado esperado de esta fase </w:t>
      </w:r>
      <w:r w:rsidR="00C63968">
        <w:t>es</w:t>
      </w:r>
      <w:r w:rsidRPr="00185447">
        <w:t xml:space="preserve"> una </w:t>
      </w:r>
      <w:r w:rsidRPr="00185447">
        <w:rPr>
          <w:rStyle w:val="Textoennegrita"/>
          <w:b w:val="0"/>
          <w:bCs/>
        </w:rPr>
        <w:t>caracterización cualitativa de las estrategias de promoción digital</w:t>
      </w:r>
      <w:r w:rsidRPr="00185447">
        <w:t>, evidenciando la coexistencia de prácticas formales e informales y su papel en la competitividad turística regional.</w:t>
      </w:r>
    </w:p>
    <w:p w14:paraId="011C5B76" w14:textId="13F853D3" w:rsidR="00994E45" w:rsidRDefault="00994E45" w:rsidP="00C63968">
      <w:pPr>
        <w:pStyle w:val="Ttulo2"/>
        <w:spacing w:line="360" w:lineRule="auto"/>
      </w:pPr>
      <w:bookmarkStart w:id="8" w:name="_Toc218596610"/>
      <w:r w:rsidRPr="00185447">
        <w:rPr>
          <w:rStyle w:val="Textoennegrita"/>
          <w:b/>
          <w:bCs w:val="0"/>
        </w:rPr>
        <w:t>Revisión de literatura gris e informes institucionales</w:t>
      </w:r>
      <w:bookmarkEnd w:id="8"/>
    </w:p>
    <w:p w14:paraId="448C340C" w14:textId="1241CB2E" w:rsidR="00994E45" w:rsidRDefault="00994E45" w:rsidP="00C63968">
      <w:pPr>
        <w:pStyle w:val="Sinespaciado"/>
        <w:spacing w:line="360" w:lineRule="auto"/>
      </w:pPr>
      <w:r w:rsidRPr="00185447">
        <w:t xml:space="preserve">Esta tercera fase tiene como fin </w:t>
      </w:r>
      <w:r w:rsidRPr="00185447">
        <w:rPr>
          <w:rStyle w:val="Textoennegrita"/>
          <w:b w:val="0"/>
          <w:bCs/>
        </w:rPr>
        <w:t>identificar los factores normativos, sociales y económicos que explican la baja formalización de las empresas del sector y su impacto en la competitividad regional</w:t>
      </w:r>
      <w:r w:rsidRPr="00185447">
        <w:t>.</w:t>
      </w:r>
      <w:r>
        <w:t xml:space="preserve"> </w:t>
      </w:r>
      <w:r w:rsidRPr="00185447">
        <w:t xml:space="preserve">Se desarrolla una </w:t>
      </w:r>
      <w:r w:rsidRPr="00185447">
        <w:rPr>
          <w:rStyle w:val="Textoennegrita"/>
          <w:b w:val="0"/>
          <w:bCs/>
        </w:rPr>
        <w:t xml:space="preserve">revisión documental de </w:t>
      </w:r>
      <w:r>
        <w:rPr>
          <w:rStyle w:val="Textoennegrita"/>
          <w:b w:val="0"/>
          <w:bCs/>
        </w:rPr>
        <w:t xml:space="preserve">fuentes oficiales y </w:t>
      </w:r>
      <w:r w:rsidRPr="00185447">
        <w:rPr>
          <w:rStyle w:val="Textoennegrita"/>
          <w:b w:val="0"/>
          <w:bCs/>
        </w:rPr>
        <w:t>literatura gris</w:t>
      </w:r>
      <w:r>
        <w:t xml:space="preserve"> </w:t>
      </w:r>
      <w:r w:rsidRPr="00185447">
        <w:t>con alto valor técnico o institucional (Páez, 2017).</w:t>
      </w:r>
      <w:r>
        <w:t xml:space="preserve">  </w:t>
      </w:r>
    </w:p>
    <w:p w14:paraId="519487E3" w14:textId="34BFBA5E" w:rsidR="00994E45" w:rsidRPr="00185447" w:rsidRDefault="00994E45" w:rsidP="00C63968">
      <w:pPr>
        <w:pStyle w:val="Sinespaciado"/>
        <w:spacing w:line="360" w:lineRule="auto"/>
      </w:pPr>
      <w:r w:rsidRPr="00185447">
        <w:t xml:space="preserve">El producto de esta fase </w:t>
      </w:r>
      <w:r w:rsidR="00C63968">
        <w:t>es</w:t>
      </w:r>
      <w:r w:rsidRPr="00185447">
        <w:t xml:space="preserve"> un </w:t>
      </w:r>
      <w:r w:rsidRPr="001038D1">
        <w:rPr>
          <w:rStyle w:val="Textoennegrita"/>
          <w:b w:val="0"/>
          <w:bCs/>
        </w:rPr>
        <w:t>marco analítico integral</w:t>
      </w:r>
      <w:r w:rsidRPr="00185447">
        <w:t xml:space="preserve"> que articule los factores institucionales con los hallazgos empíricos del análisis digital y la literatura académica.</w:t>
      </w:r>
    </w:p>
    <w:p w14:paraId="4A2DE40F" w14:textId="77777777" w:rsidR="00994E45" w:rsidRPr="001038D1" w:rsidRDefault="00994E45" w:rsidP="00C63968">
      <w:pPr>
        <w:pStyle w:val="Ttulo2"/>
        <w:spacing w:line="360" w:lineRule="auto"/>
      </w:pPr>
      <w:bookmarkStart w:id="9" w:name="_Toc218596611"/>
      <w:r w:rsidRPr="001038D1">
        <w:rPr>
          <w:rStyle w:val="Textoennegrita"/>
          <w:b/>
          <w:bCs w:val="0"/>
        </w:rPr>
        <w:t>Triangulación comparativa de resultados (Objetivo Específico 4)</w:t>
      </w:r>
      <w:bookmarkEnd w:id="9"/>
    </w:p>
    <w:p w14:paraId="5D92F00F" w14:textId="77777777" w:rsidR="00994E45" w:rsidRDefault="00994E45" w:rsidP="00C63968">
      <w:pPr>
        <w:pStyle w:val="Sinespaciado"/>
        <w:spacing w:line="360" w:lineRule="auto"/>
      </w:pPr>
      <w:r w:rsidRPr="001038D1">
        <w:t>En esta etapa se llev</w:t>
      </w:r>
      <w:r>
        <w:t>a</w:t>
      </w:r>
      <w:r w:rsidRPr="001038D1">
        <w:t xml:space="preserve"> a cabo una </w:t>
      </w:r>
      <w:r w:rsidRPr="001038D1">
        <w:rPr>
          <w:rStyle w:val="Textoennegrita"/>
          <w:b w:val="0"/>
          <w:bCs/>
        </w:rPr>
        <w:t>triangulación interpretativa</w:t>
      </w:r>
      <w:r w:rsidRPr="001038D1">
        <w:t xml:space="preserve"> (Flick, 2014), con el fin de integrar los resultados de las tres fases anteriores.</w:t>
      </w:r>
    </w:p>
    <w:p w14:paraId="69105CC4" w14:textId="77777777" w:rsidR="00994E45" w:rsidRDefault="00994E45" w:rsidP="00C63968">
      <w:pPr>
        <w:pStyle w:val="Sinespaciado"/>
        <w:spacing w:line="360" w:lineRule="auto"/>
      </w:pPr>
      <w:r w:rsidRPr="001038D1">
        <w:t>Se emple</w:t>
      </w:r>
      <w:r>
        <w:t>a</w:t>
      </w:r>
      <w:r w:rsidRPr="001038D1">
        <w:t xml:space="preserve"> un </w:t>
      </w:r>
      <w:r w:rsidRPr="001038D1">
        <w:rPr>
          <w:rStyle w:val="Textoennegrita"/>
          <w:b w:val="0"/>
          <w:bCs/>
        </w:rPr>
        <w:t>diseño de triangulación de datos y fuentes</w:t>
      </w:r>
      <w:r w:rsidRPr="001038D1">
        <w:t xml:space="preserve">, donde la revisión académica (fase 1), el análisis digital (fase 2) y la revisión institucional (fase 3) se compararán para encontrar </w:t>
      </w:r>
      <w:r w:rsidRPr="001038D1">
        <w:rPr>
          <w:rStyle w:val="Textoennegrita"/>
          <w:b w:val="0"/>
          <w:bCs/>
        </w:rPr>
        <w:t>convergencias, divergencias y complementariedades</w:t>
      </w:r>
      <w:r w:rsidRPr="001038D1">
        <w:t>.</w:t>
      </w:r>
    </w:p>
    <w:p w14:paraId="33C3CBEE" w14:textId="77777777" w:rsidR="00994E45" w:rsidRDefault="00994E45" w:rsidP="00C63968">
      <w:pPr>
        <w:pStyle w:val="Sinespaciado"/>
        <w:spacing w:line="360" w:lineRule="auto"/>
      </w:pPr>
      <w:r>
        <w:t>Como procedimiento en esta fase se plantea:</w:t>
      </w:r>
    </w:p>
    <w:p w14:paraId="7973458B" w14:textId="77777777" w:rsidR="00994E45" w:rsidRDefault="00994E45" w:rsidP="00C63968">
      <w:pPr>
        <w:pStyle w:val="Sinespaciado"/>
        <w:numPr>
          <w:ilvl w:val="0"/>
          <w:numId w:val="19"/>
        </w:numPr>
        <w:spacing w:line="360" w:lineRule="auto"/>
        <w:ind w:left="709"/>
      </w:pPr>
      <w:r>
        <w:lastRenderedPageBreak/>
        <w:t>Integración de hallazgos mediante matrices cruzadas, que permita un análisis interpretativo orientado a identificar coincidencias y tensiones entre la evidencia empírica (redes sociales), la evidencia teórica (literatura) y la evidencia institucional (informes).</w:t>
      </w:r>
    </w:p>
    <w:p w14:paraId="563FEEC4" w14:textId="77777777" w:rsidR="00994E45" w:rsidRPr="001038D1" w:rsidRDefault="00994E45" w:rsidP="00C63968">
      <w:pPr>
        <w:pStyle w:val="Sinespaciado"/>
        <w:numPr>
          <w:ilvl w:val="0"/>
          <w:numId w:val="19"/>
        </w:numPr>
        <w:spacing w:line="360" w:lineRule="auto"/>
        <w:ind w:left="709"/>
      </w:pPr>
      <w:r>
        <w:t>Síntesis narrativa y elaboración de conclusiones organizadas por categorías analíticas: prácticas de gestión, estructuras de operación, sostenibilidad y competitividad.</w:t>
      </w:r>
    </w:p>
    <w:p w14:paraId="6DB7A60C" w14:textId="77777777" w:rsidR="00994E45" w:rsidRDefault="00994E45" w:rsidP="00C63968">
      <w:pPr>
        <w:spacing w:line="360" w:lineRule="auto"/>
      </w:pPr>
      <w:r>
        <w:t>El resultado final será una visión holística del ecosistema empresarial del turismo de aventura en Santander, fundamentada en las múltiples fuentes de evidencia.</w:t>
      </w:r>
    </w:p>
    <w:p w14:paraId="2988FBB5" w14:textId="23D54984" w:rsidR="00101059" w:rsidRDefault="00101059" w:rsidP="00101059">
      <w:pPr>
        <w:pStyle w:val="Ttulo1"/>
      </w:pPr>
      <w:r>
        <w:t>Resultados</w:t>
      </w:r>
    </w:p>
    <w:p w14:paraId="2F072590" w14:textId="20D6BC9F" w:rsidR="00101059" w:rsidRDefault="00101059" w:rsidP="00101059">
      <w:pPr>
        <w:pStyle w:val="Ttulo2"/>
      </w:pPr>
      <w:r>
        <w:t>Análisis bibliométrico</w:t>
      </w:r>
    </w:p>
    <w:p w14:paraId="37E2A653" w14:textId="5A9835D6" w:rsidR="00101059" w:rsidRDefault="00101059" w:rsidP="00C63968">
      <w:pPr>
        <w:spacing w:line="360" w:lineRule="auto"/>
      </w:pPr>
      <w:r>
        <w:t>Se empleó la base de datos Scopus por su amplia cobertura en ciencias sociales aplicadas, negocios y turismo, además de su capacidad para realizar análisis bibliométricos con herramientas integradas. La ecuación de búsqueda se diseñó utilizando los operadores booleanos AND y OR, aplicados sobre los campos TITLE-ABS-KEY.</w:t>
      </w:r>
    </w:p>
    <w:p w14:paraId="0D138B08" w14:textId="6B25FED7" w:rsidR="00101059" w:rsidRPr="008B1887" w:rsidRDefault="00101059" w:rsidP="00101059">
      <w:pPr>
        <w:pStyle w:val="Descripcin"/>
        <w:rPr>
          <w:b w:val="0"/>
          <w:bCs w:val="0"/>
          <w:i/>
          <w:iCs/>
        </w:rPr>
      </w:pPr>
      <w:bookmarkStart w:id="10" w:name="_Toc218529126"/>
      <w:r w:rsidRPr="008B1887">
        <w:t xml:space="preserve">Tabla </w:t>
      </w:r>
      <w:r w:rsidR="00084DA0">
        <w:fldChar w:fldCharType="begin"/>
      </w:r>
      <w:r w:rsidR="00084DA0">
        <w:instrText xml:space="preserve"> SEQ Tabla \* ARABIC </w:instrText>
      </w:r>
      <w:r w:rsidR="00084DA0">
        <w:fldChar w:fldCharType="separate"/>
      </w:r>
      <w:r w:rsidR="005A45A4">
        <w:rPr>
          <w:noProof/>
        </w:rPr>
        <w:t>2</w:t>
      </w:r>
      <w:r w:rsidR="00084DA0">
        <w:rPr>
          <w:noProof/>
        </w:rPr>
        <w:fldChar w:fldCharType="end"/>
      </w:r>
      <w:r w:rsidRPr="008B1887">
        <w:t xml:space="preserve">. </w:t>
      </w:r>
      <w:r w:rsidRPr="008B1887">
        <w:rPr>
          <w:b w:val="0"/>
          <w:bCs w:val="0"/>
          <w:color w:val="FFFFFF" w:themeColor="background1"/>
        </w:rPr>
        <w:t>Ecuación de Búsqueda Inicial</w:t>
      </w:r>
      <w:bookmarkEnd w:id="10"/>
    </w:p>
    <w:p w14:paraId="41C97352" w14:textId="77777777" w:rsidR="00101059" w:rsidRPr="0073237B" w:rsidRDefault="00101059" w:rsidP="00101059">
      <w:pPr>
        <w:pStyle w:val="Descripcin"/>
        <w:rPr>
          <w:b w:val="0"/>
          <w:bCs w:val="0"/>
          <w:i/>
          <w:iCs/>
        </w:rPr>
      </w:pPr>
      <w:r w:rsidRPr="0073237B">
        <w:rPr>
          <w:b w:val="0"/>
          <w:bCs w:val="0"/>
          <w:i/>
          <w:iCs/>
        </w:rPr>
        <w:t>Ecuación de Búsqueda</w:t>
      </w:r>
      <w:r>
        <w:rPr>
          <w:b w:val="0"/>
          <w:bCs w:val="0"/>
          <w:i/>
          <w:iCs/>
        </w:rPr>
        <w:t xml:space="preserve"> Inicial</w:t>
      </w:r>
    </w:p>
    <w:tbl>
      <w:tblPr>
        <w:tblStyle w:val="Tabladelista6concolores1"/>
        <w:tblW w:w="0" w:type="auto"/>
        <w:tblLook w:val="04A0" w:firstRow="1" w:lastRow="0" w:firstColumn="1" w:lastColumn="0" w:noHBand="0" w:noVBand="1"/>
      </w:tblPr>
      <w:tblGrid>
        <w:gridCol w:w="986"/>
        <w:gridCol w:w="7224"/>
        <w:gridCol w:w="1150"/>
      </w:tblGrid>
      <w:tr w:rsidR="00101059" w:rsidRPr="00A92707" w14:paraId="3BA6FC57" w14:textId="77777777" w:rsidTr="00831F1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859DA37" w14:textId="77777777" w:rsidR="00101059" w:rsidRPr="00A92707" w:rsidRDefault="00101059" w:rsidP="00831F13">
            <w:pPr>
              <w:spacing w:line="240" w:lineRule="auto"/>
              <w:ind w:firstLine="0"/>
              <w:jc w:val="center"/>
              <w:rPr>
                <w:rFonts w:ascii="Times New Roman" w:eastAsia="Times New Roman" w:hAnsi="Times New Roman"/>
                <w:sz w:val="20"/>
                <w:szCs w:val="20"/>
                <w:lang w:eastAsia="es-CO"/>
              </w:rPr>
            </w:pPr>
            <w:r w:rsidRPr="00A92707">
              <w:rPr>
                <w:rFonts w:ascii="Times New Roman" w:eastAsia="Times New Roman" w:hAnsi="Times New Roman"/>
                <w:sz w:val="20"/>
                <w:szCs w:val="20"/>
                <w:lang w:eastAsia="es-CO"/>
              </w:rPr>
              <w:t>Base de datos</w:t>
            </w:r>
          </w:p>
        </w:tc>
        <w:tc>
          <w:tcPr>
            <w:tcW w:w="0" w:type="auto"/>
            <w:hideMark/>
          </w:tcPr>
          <w:p w14:paraId="5A15707B" w14:textId="77777777" w:rsidR="00101059" w:rsidRPr="00A92707"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20"/>
                <w:szCs w:val="20"/>
                <w:lang w:eastAsia="es-CO"/>
              </w:rPr>
            </w:pPr>
            <w:r w:rsidRPr="00A92707">
              <w:rPr>
                <w:rFonts w:ascii="Times New Roman" w:eastAsia="Times New Roman" w:hAnsi="Times New Roman"/>
                <w:sz w:val="20"/>
                <w:szCs w:val="20"/>
                <w:lang w:eastAsia="es-CO"/>
              </w:rPr>
              <w:t>Ecuación de búsqueda</w:t>
            </w:r>
          </w:p>
        </w:tc>
        <w:tc>
          <w:tcPr>
            <w:tcW w:w="0" w:type="auto"/>
            <w:hideMark/>
          </w:tcPr>
          <w:p w14:paraId="03890C3C" w14:textId="77777777" w:rsidR="00101059" w:rsidRPr="00A92707"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20"/>
                <w:szCs w:val="20"/>
                <w:lang w:eastAsia="es-CO"/>
              </w:rPr>
            </w:pPr>
            <w:r w:rsidRPr="00A92707">
              <w:rPr>
                <w:rFonts w:ascii="Times New Roman" w:eastAsia="Times New Roman" w:hAnsi="Times New Roman"/>
                <w:sz w:val="20"/>
                <w:szCs w:val="20"/>
                <w:lang w:eastAsia="es-CO"/>
              </w:rPr>
              <w:t>Resultados</w:t>
            </w:r>
          </w:p>
        </w:tc>
      </w:tr>
      <w:tr w:rsidR="00101059" w:rsidRPr="00A92707" w14:paraId="2C261B78" w14:textId="77777777" w:rsidTr="00831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02B6555" w14:textId="77777777" w:rsidR="00101059" w:rsidRPr="00A92707" w:rsidRDefault="00101059" w:rsidP="00831F13">
            <w:pPr>
              <w:spacing w:line="240" w:lineRule="auto"/>
              <w:ind w:firstLine="0"/>
              <w:jc w:val="left"/>
              <w:rPr>
                <w:rFonts w:ascii="Times New Roman" w:eastAsia="Times New Roman" w:hAnsi="Times New Roman"/>
                <w:sz w:val="20"/>
                <w:szCs w:val="20"/>
                <w:lang w:eastAsia="es-CO"/>
              </w:rPr>
            </w:pPr>
            <w:r w:rsidRPr="00A92707">
              <w:rPr>
                <w:rFonts w:ascii="Times New Roman" w:eastAsia="Times New Roman" w:hAnsi="Times New Roman"/>
                <w:sz w:val="20"/>
                <w:szCs w:val="20"/>
                <w:lang w:eastAsia="es-CO"/>
              </w:rPr>
              <w:t>Scopus</w:t>
            </w:r>
          </w:p>
        </w:tc>
        <w:tc>
          <w:tcPr>
            <w:tcW w:w="0" w:type="auto"/>
            <w:hideMark/>
          </w:tcPr>
          <w:p w14:paraId="6BDB2B8B" w14:textId="77777777" w:rsidR="00101059" w:rsidRPr="0025493A"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20"/>
                <w:szCs w:val="20"/>
                <w:lang w:val="en-US" w:eastAsia="es-CO"/>
              </w:rPr>
            </w:pPr>
            <w:r w:rsidRPr="0025493A">
              <w:rPr>
                <w:rFonts w:ascii="Times New Roman" w:eastAsia="Times New Roman" w:hAnsi="Times New Roman"/>
                <w:sz w:val="20"/>
                <w:szCs w:val="20"/>
                <w:lang w:val="en-US" w:eastAsia="es-CO"/>
              </w:rPr>
              <w:t>TITLE-ABS-</w:t>
            </w:r>
            <w:proofErr w:type="gramStart"/>
            <w:r w:rsidRPr="0025493A">
              <w:rPr>
                <w:rFonts w:ascii="Times New Roman" w:eastAsia="Times New Roman" w:hAnsi="Times New Roman"/>
                <w:sz w:val="20"/>
                <w:szCs w:val="20"/>
                <w:lang w:val="en-US" w:eastAsia="es-CO"/>
              </w:rPr>
              <w:t>KEY(</w:t>
            </w:r>
            <w:proofErr w:type="gramEnd"/>
          </w:p>
          <w:p w14:paraId="52226024" w14:textId="77777777" w:rsidR="00101059" w:rsidRPr="0025493A"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20"/>
                <w:szCs w:val="20"/>
                <w:lang w:val="en-US" w:eastAsia="es-CO"/>
              </w:rPr>
            </w:pPr>
            <w:r w:rsidRPr="0025493A">
              <w:rPr>
                <w:rFonts w:ascii="Times New Roman" w:eastAsia="Times New Roman" w:hAnsi="Times New Roman"/>
                <w:sz w:val="20"/>
                <w:szCs w:val="20"/>
                <w:lang w:val="en-US" w:eastAsia="es-CO"/>
              </w:rPr>
              <w:t xml:space="preserve">  </w:t>
            </w:r>
            <w:proofErr w:type="gramStart"/>
            <w:r w:rsidRPr="0025493A">
              <w:rPr>
                <w:rFonts w:ascii="Times New Roman" w:eastAsia="Times New Roman" w:hAnsi="Times New Roman"/>
                <w:sz w:val="20"/>
                <w:szCs w:val="20"/>
                <w:lang w:val="en-US" w:eastAsia="es-CO"/>
              </w:rPr>
              <w:t>( "</w:t>
            </w:r>
            <w:proofErr w:type="gramEnd"/>
            <w:r w:rsidRPr="0025493A">
              <w:rPr>
                <w:rFonts w:ascii="Times New Roman" w:eastAsia="Times New Roman" w:hAnsi="Times New Roman"/>
                <w:sz w:val="20"/>
                <w:szCs w:val="20"/>
                <w:lang w:val="en-US" w:eastAsia="es-CO"/>
              </w:rPr>
              <w:t xml:space="preserve">adventure W/2 </w:t>
            </w:r>
            <w:proofErr w:type="spellStart"/>
            <w:r w:rsidRPr="0025493A">
              <w:rPr>
                <w:rFonts w:ascii="Times New Roman" w:eastAsia="Times New Roman" w:hAnsi="Times New Roman"/>
                <w:sz w:val="20"/>
                <w:szCs w:val="20"/>
                <w:lang w:val="en-US" w:eastAsia="es-CO"/>
              </w:rPr>
              <w:t>touris</w:t>
            </w:r>
            <w:proofErr w:type="spellEnd"/>
            <w:r w:rsidRPr="0025493A">
              <w:rPr>
                <w:rFonts w:ascii="Times New Roman" w:eastAsia="Times New Roman" w:hAnsi="Times New Roman"/>
                <w:sz w:val="20"/>
                <w:szCs w:val="20"/>
                <w:lang w:val="en-US" w:eastAsia="es-CO"/>
              </w:rPr>
              <w:t xml:space="preserve">*" OR "adventure sport*" OR </w:t>
            </w:r>
            <w:proofErr w:type="spellStart"/>
            <w:r w:rsidRPr="0025493A">
              <w:rPr>
                <w:rFonts w:ascii="Times New Roman" w:eastAsia="Times New Roman" w:hAnsi="Times New Roman"/>
                <w:sz w:val="20"/>
                <w:szCs w:val="20"/>
                <w:lang w:val="en-US" w:eastAsia="es-CO"/>
              </w:rPr>
              <w:t>ecotouris</w:t>
            </w:r>
            <w:proofErr w:type="spellEnd"/>
            <w:r w:rsidRPr="0025493A">
              <w:rPr>
                <w:rFonts w:ascii="Times New Roman" w:eastAsia="Times New Roman" w:hAnsi="Times New Roman"/>
                <w:sz w:val="20"/>
                <w:szCs w:val="20"/>
                <w:lang w:val="en-US" w:eastAsia="es-CO"/>
              </w:rPr>
              <w:t xml:space="preserve">* OR "nature-based </w:t>
            </w:r>
            <w:proofErr w:type="spellStart"/>
            <w:r w:rsidRPr="0025493A">
              <w:rPr>
                <w:rFonts w:ascii="Times New Roman" w:eastAsia="Times New Roman" w:hAnsi="Times New Roman"/>
                <w:sz w:val="20"/>
                <w:szCs w:val="20"/>
                <w:lang w:val="en-US" w:eastAsia="es-CO"/>
              </w:rPr>
              <w:t>touris</w:t>
            </w:r>
            <w:proofErr w:type="spellEnd"/>
            <w:r w:rsidRPr="0025493A">
              <w:rPr>
                <w:rFonts w:ascii="Times New Roman" w:eastAsia="Times New Roman" w:hAnsi="Times New Roman"/>
                <w:sz w:val="20"/>
                <w:szCs w:val="20"/>
                <w:lang w:val="en-US" w:eastAsia="es-CO"/>
              </w:rPr>
              <w:t>*" OR "outdoor recreation" )</w:t>
            </w:r>
          </w:p>
          <w:p w14:paraId="0BCF2D9B" w14:textId="77777777" w:rsidR="00101059" w:rsidRPr="0025493A"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20"/>
                <w:szCs w:val="20"/>
                <w:lang w:val="en-US" w:eastAsia="es-CO"/>
              </w:rPr>
            </w:pPr>
            <w:r w:rsidRPr="0025493A">
              <w:rPr>
                <w:rFonts w:ascii="Times New Roman" w:eastAsia="Times New Roman" w:hAnsi="Times New Roman"/>
                <w:sz w:val="20"/>
                <w:szCs w:val="20"/>
                <w:lang w:val="en-US" w:eastAsia="es-CO"/>
              </w:rPr>
              <w:t>AND</w:t>
            </w:r>
          </w:p>
          <w:p w14:paraId="261555B2" w14:textId="77777777" w:rsidR="00101059" w:rsidRPr="0025493A"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20"/>
                <w:szCs w:val="20"/>
                <w:lang w:val="en-US" w:eastAsia="es-CO"/>
              </w:rPr>
            </w:pPr>
            <w:r w:rsidRPr="0025493A">
              <w:rPr>
                <w:rFonts w:ascii="Times New Roman" w:eastAsia="Times New Roman" w:hAnsi="Times New Roman"/>
                <w:sz w:val="20"/>
                <w:szCs w:val="20"/>
                <w:lang w:val="en-US" w:eastAsia="es-CO"/>
              </w:rPr>
              <w:t xml:space="preserve">  </w:t>
            </w:r>
            <w:proofErr w:type="gramStart"/>
            <w:r w:rsidRPr="0025493A">
              <w:rPr>
                <w:rFonts w:ascii="Times New Roman" w:eastAsia="Times New Roman" w:hAnsi="Times New Roman"/>
                <w:sz w:val="20"/>
                <w:szCs w:val="20"/>
                <w:lang w:val="en-US" w:eastAsia="es-CO"/>
              </w:rPr>
              <w:t>( "</w:t>
            </w:r>
            <w:proofErr w:type="gramEnd"/>
            <w:r w:rsidRPr="0025493A">
              <w:rPr>
                <w:rFonts w:ascii="Times New Roman" w:eastAsia="Times New Roman" w:hAnsi="Times New Roman"/>
                <w:sz w:val="20"/>
                <w:szCs w:val="20"/>
                <w:lang w:val="en-US" w:eastAsia="es-CO"/>
              </w:rPr>
              <w:t>SME*" OR "MSME*" OR "</w:t>
            </w:r>
            <w:proofErr w:type="spellStart"/>
            <w:r w:rsidRPr="0025493A">
              <w:rPr>
                <w:rFonts w:ascii="Times New Roman" w:eastAsia="Times New Roman" w:hAnsi="Times New Roman"/>
                <w:sz w:val="20"/>
                <w:szCs w:val="20"/>
                <w:lang w:val="en-US" w:eastAsia="es-CO"/>
              </w:rPr>
              <w:t>mipyme</w:t>
            </w:r>
            <w:proofErr w:type="spellEnd"/>
            <w:r w:rsidRPr="0025493A">
              <w:rPr>
                <w:rFonts w:ascii="Times New Roman" w:eastAsia="Times New Roman" w:hAnsi="Times New Roman"/>
                <w:sz w:val="20"/>
                <w:szCs w:val="20"/>
                <w:lang w:val="en-US" w:eastAsia="es-CO"/>
              </w:rPr>
              <w:t>*" OR "</w:t>
            </w:r>
            <w:proofErr w:type="spellStart"/>
            <w:r w:rsidRPr="0025493A">
              <w:rPr>
                <w:rFonts w:ascii="Times New Roman" w:eastAsia="Times New Roman" w:hAnsi="Times New Roman"/>
                <w:sz w:val="20"/>
                <w:szCs w:val="20"/>
                <w:lang w:val="en-US" w:eastAsia="es-CO"/>
              </w:rPr>
              <w:t>pyme</w:t>
            </w:r>
            <w:proofErr w:type="spellEnd"/>
            <w:r w:rsidRPr="0025493A">
              <w:rPr>
                <w:rFonts w:ascii="Times New Roman" w:eastAsia="Times New Roman" w:hAnsi="Times New Roman"/>
                <w:sz w:val="20"/>
                <w:szCs w:val="20"/>
                <w:lang w:val="en-US" w:eastAsia="es-CO"/>
              </w:rPr>
              <w:t xml:space="preserve">*" OR "small and medium enterprise*" OR "micro-enterprise*" OR microenterprise* OR "small business*" OR "micro business*" OR </w:t>
            </w:r>
            <w:proofErr w:type="spellStart"/>
            <w:r w:rsidRPr="0025493A">
              <w:rPr>
                <w:rFonts w:ascii="Times New Roman" w:eastAsia="Times New Roman" w:hAnsi="Times New Roman"/>
                <w:sz w:val="20"/>
                <w:szCs w:val="20"/>
                <w:lang w:val="en-US" w:eastAsia="es-CO"/>
              </w:rPr>
              <w:t>entrepren</w:t>
            </w:r>
            <w:proofErr w:type="spellEnd"/>
            <w:r w:rsidRPr="0025493A">
              <w:rPr>
                <w:rFonts w:ascii="Times New Roman" w:eastAsia="Times New Roman" w:hAnsi="Times New Roman"/>
                <w:sz w:val="20"/>
                <w:szCs w:val="20"/>
                <w:lang w:val="en-US" w:eastAsia="es-CO"/>
              </w:rPr>
              <w:t xml:space="preserve">* OR "informal </w:t>
            </w:r>
            <w:proofErr w:type="spellStart"/>
            <w:r w:rsidRPr="0025493A">
              <w:rPr>
                <w:rFonts w:ascii="Times New Roman" w:eastAsia="Times New Roman" w:hAnsi="Times New Roman"/>
                <w:sz w:val="20"/>
                <w:szCs w:val="20"/>
                <w:lang w:val="en-US" w:eastAsia="es-CO"/>
              </w:rPr>
              <w:t>econom</w:t>
            </w:r>
            <w:proofErr w:type="spellEnd"/>
            <w:r w:rsidRPr="0025493A">
              <w:rPr>
                <w:rFonts w:ascii="Times New Roman" w:eastAsia="Times New Roman" w:hAnsi="Times New Roman"/>
                <w:sz w:val="20"/>
                <w:szCs w:val="20"/>
                <w:lang w:val="en-US" w:eastAsia="es-CO"/>
              </w:rPr>
              <w:t>*" OR "informal sector" )</w:t>
            </w:r>
          </w:p>
          <w:p w14:paraId="1B8564F5" w14:textId="77777777" w:rsidR="00101059" w:rsidRPr="0025493A"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20"/>
                <w:szCs w:val="20"/>
                <w:lang w:val="en-US" w:eastAsia="es-CO"/>
              </w:rPr>
            </w:pPr>
            <w:r w:rsidRPr="0025493A">
              <w:rPr>
                <w:rFonts w:ascii="Times New Roman" w:eastAsia="Times New Roman" w:hAnsi="Times New Roman"/>
                <w:sz w:val="20"/>
                <w:szCs w:val="20"/>
                <w:lang w:val="en-US" w:eastAsia="es-CO"/>
              </w:rPr>
              <w:t xml:space="preserve">  AND</w:t>
            </w:r>
          </w:p>
          <w:p w14:paraId="677ED5EE" w14:textId="77777777" w:rsidR="00101059" w:rsidRPr="0025493A"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20"/>
                <w:szCs w:val="20"/>
                <w:lang w:val="en-US" w:eastAsia="es-CO"/>
              </w:rPr>
            </w:pPr>
            <w:r w:rsidRPr="0025493A">
              <w:rPr>
                <w:rFonts w:ascii="Times New Roman" w:eastAsia="Times New Roman" w:hAnsi="Times New Roman"/>
                <w:sz w:val="20"/>
                <w:szCs w:val="20"/>
                <w:lang w:val="en-US" w:eastAsia="es-CO"/>
              </w:rPr>
              <w:t xml:space="preserve">  </w:t>
            </w:r>
            <w:proofErr w:type="gramStart"/>
            <w:r w:rsidRPr="0025493A">
              <w:rPr>
                <w:rFonts w:ascii="Times New Roman" w:eastAsia="Times New Roman" w:hAnsi="Times New Roman"/>
                <w:sz w:val="20"/>
                <w:szCs w:val="20"/>
                <w:lang w:val="en-US" w:eastAsia="es-CO"/>
              </w:rPr>
              <w:t>( "</w:t>
            </w:r>
            <w:proofErr w:type="gramEnd"/>
            <w:r w:rsidRPr="0025493A">
              <w:rPr>
                <w:rFonts w:ascii="Times New Roman" w:eastAsia="Times New Roman" w:hAnsi="Times New Roman"/>
                <w:sz w:val="20"/>
                <w:szCs w:val="20"/>
                <w:lang w:val="en-US" w:eastAsia="es-CO"/>
              </w:rPr>
              <w:t xml:space="preserve">emerging </w:t>
            </w:r>
            <w:proofErr w:type="spellStart"/>
            <w:r w:rsidRPr="0025493A">
              <w:rPr>
                <w:rFonts w:ascii="Times New Roman" w:eastAsia="Times New Roman" w:hAnsi="Times New Roman"/>
                <w:sz w:val="20"/>
                <w:szCs w:val="20"/>
                <w:lang w:val="en-US" w:eastAsia="es-CO"/>
              </w:rPr>
              <w:t>econom</w:t>
            </w:r>
            <w:proofErr w:type="spellEnd"/>
            <w:r w:rsidRPr="0025493A">
              <w:rPr>
                <w:rFonts w:ascii="Times New Roman" w:eastAsia="Times New Roman" w:hAnsi="Times New Roman"/>
                <w:sz w:val="20"/>
                <w:szCs w:val="20"/>
                <w:lang w:val="en-US" w:eastAsia="es-CO"/>
              </w:rPr>
              <w:t xml:space="preserve">*" OR "developing </w:t>
            </w:r>
            <w:proofErr w:type="spellStart"/>
            <w:r w:rsidRPr="0025493A">
              <w:rPr>
                <w:rFonts w:ascii="Times New Roman" w:eastAsia="Times New Roman" w:hAnsi="Times New Roman"/>
                <w:sz w:val="20"/>
                <w:szCs w:val="20"/>
                <w:lang w:val="en-US" w:eastAsia="es-CO"/>
              </w:rPr>
              <w:t>countr</w:t>
            </w:r>
            <w:proofErr w:type="spellEnd"/>
            <w:r w:rsidRPr="0025493A">
              <w:rPr>
                <w:rFonts w:ascii="Times New Roman" w:eastAsia="Times New Roman" w:hAnsi="Times New Roman"/>
                <w:sz w:val="20"/>
                <w:szCs w:val="20"/>
                <w:lang w:val="en-US" w:eastAsia="es-CO"/>
              </w:rPr>
              <w:t xml:space="preserve">*" OR "Latin America" OR "Global South" OR "low- and middle-income </w:t>
            </w:r>
            <w:proofErr w:type="spellStart"/>
            <w:r w:rsidRPr="0025493A">
              <w:rPr>
                <w:rFonts w:ascii="Times New Roman" w:eastAsia="Times New Roman" w:hAnsi="Times New Roman"/>
                <w:sz w:val="20"/>
                <w:szCs w:val="20"/>
                <w:lang w:val="en-US" w:eastAsia="es-CO"/>
              </w:rPr>
              <w:t>countr</w:t>
            </w:r>
            <w:proofErr w:type="spellEnd"/>
            <w:r w:rsidRPr="0025493A">
              <w:rPr>
                <w:rFonts w:ascii="Times New Roman" w:eastAsia="Times New Roman" w:hAnsi="Times New Roman"/>
                <w:sz w:val="20"/>
                <w:szCs w:val="20"/>
                <w:lang w:val="en-US" w:eastAsia="es-CO"/>
              </w:rPr>
              <w:t>*" OR "LMIC*" )</w:t>
            </w:r>
          </w:p>
          <w:p w14:paraId="07E1FDE1" w14:textId="77777777" w:rsidR="00101059" w:rsidRPr="00A92707"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20"/>
                <w:szCs w:val="20"/>
                <w:lang w:val="en-US" w:eastAsia="es-CO"/>
              </w:rPr>
            </w:pPr>
            <w:r w:rsidRPr="0025493A">
              <w:rPr>
                <w:rFonts w:ascii="Times New Roman" w:eastAsia="Times New Roman" w:hAnsi="Times New Roman"/>
                <w:sz w:val="20"/>
                <w:szCs w:val="20"/>
                <w:lang w:val="en-US" w:eastAsia="es-CO"/>
              </w:rPr>
              <w:t>)</w:t>
            </w:r>
          </w:p>
        </w:tc>
        <w:tc>
          <w:tcPr>
            <w:tcW w:w="0" w:type="auto"/>
            <w:hideMark/>
          </w:tcPr>
          <w:p w14:paraId="03D5623B" w14:textId="77777777" w:rsidR="00101059" w:rsidRPr="00A92707"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20"/>
                <w:szCs w:val="20"/>
                <w:lang w:eastAsia="es-CO"/>
              </w:rPr>
            </w:pPr>
            <w:r w:rsidRPr="0025493A">
              <w:rPr>
                <w:rFonts w:ascii="Times New Roman" w:eastAsia="Times New Roman" w:hAnsi="Times New Roman"/>
                <w:sz w:val="20"/>
                <w:szCs w:val="20"/>
                <w:lang w:eastAsia="es-CO"/>
              </w:rPr>
              <w:t>27</w:t>
            </w:r>
          </w:p>
        </w:tc>
      </w:tr>
    </w:tbl>
    <w:p w14:paraId="4CF8A09C" w14:textId="77777777" w:rsidR="00101059" w:rsidRPr="005D355D" w:rsidRDefault="00101059" w:rsidP="00101059">
      <w:pPr>
        <w:pStyle w:val="NormalWeb"/>
        <w:jc w:val="both"/>
        <w:rPr>
          <w:sz w:val="20"/>
          <w:szCs w:val="20"/>
        </w:rPr>
      </w:pPr>
      <w:r w:rsidRPr="005D355D">
        <w:rPr>
          <w:sz w:val="20"/>
          <w:szCs w:val="20"/>
        </w:rPr>
        <w:t xml:space="preserve">Nota: El uso del asterisco (*) en la ecuación de búsqueda corresponde a un operador de truncamiento, empleado para ampliar el rango de resultados al incluir todas las posibles variaciones de una raíz léxica. Por ejemplo, </w:t>
      </w:r>
      <w:proofErr w:type="spellStart"/>
      <w:r w:rsidRPr="005D355D">
        <w:rPr>
          <w:sz w:val="20"/>
          <w:szCs w:val="20"/>
        </w:rPr>
        <w:t>touris</w:t>
      </w:r>
      <w:proofErr w:type="spellEnd"/>
      <w:r w:rsidRPr="005D355D">
        <w:rPr>
          <w:sz w:val="20"/>
          <w:szCs w:val="20"/>
        </w:rPr>
        <w:t xml:space="preserve">** recupera términos como </w:t>
      </w:r>
      <w:proofErr w:type="spellStart"/>
      <w:r w:rsidRPr="005D355D">
        <w:rPr>
          <w:sz w:val="20"/>
          <w:szCs w:val="20"/>
        </w:rPr>
        <w:t>tourism</w:t>
      </w:r>
      <w:proofErr w:type="spellEnd"/>
      <w:r w:rsidRPr="005D355D">
        <w:rPr>
          <w:sz w:val="20"/>
          <w:szCs w:val="20"/>
        </w:rPr>
        <w:t xml:space="preserve">, </w:t>
      </w:r>
      <w:proofErr w:type="spellStart"/>
      <w:r w:rsidRPr="005D355D">
        <w:rPr>
          <w:sz w:val="20"/>
          <w:szCs w:val="20"/>
        </w:rPr>
        <w:t>touristic</w:t>
      </w:r>
      <w:proofErr w:type="spellEnd"/>
      <w:r w:rsidRPr="005D355D">
        <w:rPr>
          <w:sz w:val="20"/>
          <w:szCs w:val="20"/>
        </w:rPr>
        <w:t xml:space="preserve"> o </w:t>
      </w:r>
      <w:proofErr w:type="spellStart"/>
      <w:r w:rsidRPr="005D355D">
        <w:rPr>
          <w:sz w:val="20"/>
          <w:szCs w:val="20"/>
        </w:rPr>
        <w:t>tourist</w:t>
      </w:r>
      <w:proofErr w:type="spellEnd"/>
      <w:r w:rsidRPr="005D355D">
        <w:rPr>
          <w:sz w:val="20"/>
          <w:szCs w:val="20"/>
        </w:rPr>
        <w:t xml:space="preserve">; </w:t>
      </w:r>
      <w:proofErr w:type="spellStart"/>
      <w:r w:rsidRPr="005D355D">
        <w:rPr>
          <w:sz w:val="20"/>
          <w:szCs w:val="20"/>
        </w:rPr>
        <w:t>entrepren</w:t>
      </w:r>
      <w:proofErr w:type="spellEnd"/>
      <w:r w:rsidRPr="005D355D">
        <w:rPr>
          <w:sz w:val="20"/>
          <w:szCs w:val="20"/>
        </w:rPr>
        <w:t xml:space="preserve">** incluye </w:t>
      </w:r>
      <w:proofErr w:type="spellStart"/>
      <w:r w:rsidRPr="005D355D">
        <w:rPr>
          <w:sz w:val="20"/>
          <w:szCs w:val="20"/>
        </w:rPr>
        <w:t>entrepreneur</w:t>
      </w:r>
      <w:proofErr w:type="spellEnd"/>
      <w:r w:rsidRPr="005D355D">
        <w:rPr>
          <w:sz w:val="20"/>
          <w:szCs w:val="20"/>
        </w:rPr>
        <w:t xml:space="preserve">, </w:t>
      </w:r>
      <w:proofErr w:type="spellStart"/>
      <w:r w:rsidRPr="005D355D">
        <w:rPr>
          <w:sz w:val="20"/>
          <w:szCs w:val="20"/>
        </w:rPr>
        <w:t>entrepreneurial</w:t>
      </w:r>
      <w:proofErr w:type="spellEnd"/>
      <w:r w:rsidRPr="005D355D">
        <w:rPr>
          <w:sz w:val="20"/>
          <w:szCs w:val="20"/>
        </w:rPr>
        <w:t xml:space="preserve"> y </w:t>
      </w:r>
      <w:proofErr w:type="spellStart"/>
      <w:r w:rsidRPr="005D355D">
        <w:rPr>
          <w:sz w:val="20"/>
          <w:szCs w:val="20"/>
        </w:rPr>
        <w:t>entrepreneurship</w:t>
      </w:r>
      <w:proofErr w:type="spellEnd"/>
      <w:r w:rsidRPr="005D355D">
        <w:rPr>
          <w:sz w:val="20"/>
          <w:szCs w:val="20"/>
        </w:rPr>
        <w:t>. Del mismo modo, se utilizaron operadores de proximidad (W/n) y conectores booleanos (AND, OR) para mejorar la precisión semántica y permitir la recuperación de publicaciones que utilicen expresiones equivalentes o cercanas dentro del texto, garantizando así una cobertura amplia y pertinente del campo temático en estudio.</w:t>
      </w:r>
    </w:p>
    <w:p w14:paraId="79366E97" w14:textId="77777777" w:rsidR="00101059" w:rsidRDefault="00101059" w:rsidP="00101059">
      <w:r>
        <w:t>Los resultados iniciales arrojaron 27 artículos, los cuales fueron sometidos a un proceso de depuración conforme al protocolo PRISMA.</w:t>
      </w:r>
    </w:p>
    <w:p w14:paraId="383D829A" w14:textId="77777777" w:rsidR="00101059" w:rsidRDefault="00101059" w:rsidP="00101059">
      <w:pPr>
        <w:pStyle w:val="Ttulo3"/>
      </w:pPr>
      <w:bookmarkStart w:id="11" w:name="_Toc218596621"/>
      <w:r>
        <w:rPr>
          <w:rStyle w:val="Textoennegrita"/>
          <w:b/>
          <w:bCs w:val="0"/>
        </w:rPr>
        <w:lastRenderedPageBreak/>
        <w:t>Selección y depuración de artículos relevantes</w:t>
      </w:r>
      <w:bookmarkEnd w:id="11"/>
    </w:p>
    <w:p w14:paraId="2AC82F94" w14:textId="77777777" w:rsidR="00101059" w:rsidRPr="00A92707" w:rsidRDefault="00101059" w:rsidP="00C63968">
      <w:pPr>
        <w:spacing w:line="360" w:lineRule="auto"/>
        <w:rPr>
          <w:rStyle w:val="Textoennegrita"/>
          <w:b w:val="0"/>
          <w:bCs w:val="0"/>
        </w:rPr>
      </w:pPr>
      <w:r w:rsidRPr="00A92707">
        <w:rPr>
          <w:rStyle w:val="Textoennegrita"/>
          <w:b w:val="0"/>
          <w:bCs w:val="0"/>
        </w:rPr>
        <w:t>Se establecieron los siguientes criterios:</w:t>
      </w:r>
    </w:p>
    <w:p w14:paraId="5CD60E3D" w14:textId="77777777" w:rsidR="00101059" w:rsidRPr="00A92707" w:rsidRDefault="00101059" w:rsidP="00C63968">
      <w:pPr>
        <w:pStyle w:val="Prrafodelista"/>
        <w:numPr>
          <w:ilvl w:val="0"/>
          <w:numId w:val="23"/>
        </w:numPr>
        <w:spacing w:before="240" w:after="240" w:line="360" w:lineRule="auto"/>
        <w:rPr>
          <w:rStyle w:val="Textoennegrita"/>
          <w:b w:val="0"/>
          <w:bCs w:val="0"/>
        </w:rPr>
      </w:pPr>
      <w:r w:rsidRPr="00A92707">
        <w:rPr>
          <w:rStyle w:val="Textoennegrita"/>
          <w:b w:val="0"/>
          <w:bCs w:val="0"/>
        </w:rPr>
        <w:t>Inclusión: artículos académicos revisados por pares, publicados entre 2014 y 202</w:t>
      </w:r>
      <w:r>
        <w:rPr>
          <w:rStyle w:val="Textoennegrita"/>
          <w:b w:val="0"/>
          <w:bCs w:val="0"/>
        </w:rPr>
        <w:t>6.</w:t>
      </w:r>
    </w:p>
    <w:p w14:paraId="1AED3352" w14:textId="77777777" w:rsidR="00101059" w:rsidRPr="00A92707" w:rsidRDefault="00101059" w:rsidP="00C63968">
      <w:pPr>
        <w:pStyle w:val="Prrafodelista"/>
        <w:numPr>
          <w:ilvl w:val="0"/>
          <w:numId w:val="23"/>
        </w:numPr>
        <w:spacing w:before="240" w:after="240" w:line="360" w:lineRule="auto"/>
        <w:rPr>
          <w:rStyle w:val="Textoennegrita"/>
          <w:b w:val="0"/>
          <w:bCs w:val="0"/>
        </w:rPr>
      </w:pPr>
      <w:r w:rsidRPr="00A92707">
        <w:rPr>
          <w:rStyle w:val="Textoennegrita"/>
          <w:b w:val="0"/>
          <w:bCs w:val="0"/>
        </w:rPr>
        <w:t>Exclusión: capítulos de libro, documentos sin acceso completo, publicaciones duplicadas</w:t>
      </w:r>
      <w:r>
        <w:rPr>
          <w:rStyle w:val="Textoennegrita"/>
          <w:b w:val="0"/>
          <w:bCs w:val="0"/>
        </w:rPr>
        <w:t xml:space="preserve">, </w:t>
      </w:r>
      <w:r w:rsidRPr="00A92707">
        <w:rPr>
          <w:rStyle w:val="Textoennegrita"/>
          <w:b w:val="0"/>
          <w:bCs w:val="0"/>
        </w:rPr>
        <w:t>estudios no relacionados con turismo o MiPymes</w:t>
      </w:r>
      <w:r>
        <w:rPr>
          <w:rStyle w:val="Textoennegrita"/>
          <w:b w:val="0"/>
          <w:bCs w:val="0"/>
        </w:rPr>
        <w:t xml:space="preserve"> o que no sean de acceso abierto.</w:t>
      </w:r>
    </w:p>
    <w:p w14:paraId="18D69F9E" w14:textId="77777777" w:rsidR="00101059" w:rsidRDefault="00101059" w:rsidP="00C63968">
      <w:pPr>
        <w:spacing w:line="360" w:lineRule="auto"/>
        <w:rPr>
          <w:rStyle w:val="Textoennegrita"/>
          <w:b w:val="0"/>
          <w:bCs w:val="0"/>
        </w:rPr>
      </w:pPr>
      <w:r w:rsidRPr="00A92707">
        <w:rPr>
          <w:rStyle w:val="Textoennegrita"/>
          <w:b w:val="0"/>
          <w:bCs w:val="0"/>
        </w:rPr>
        <w:t xml:space="preserve">Tras aplicar </w:t>
      </w:r>
      <w:r>
        <w:rPr>
          <w:rStyle w:val="Textoennegrita"/>
          <w:b w:val="0"/>
          <w:bCs w:val="0"/>
        </w:rPr>
        <w:t>estos criterios</w:t>
      </w:r>
      <w:r w:rsidRPr="00A92707">
        <w:rPr>
          <w:rStyle w:val="Textoennegrita"/>
          <w:b w:val="0"/>
          <w:bCs w:val="0"/>
        </w:rPr>
        <w:t xml:space="preserve"> se redujo la muestra a 1</w:t>
      </w:r>
      <w:r>
        <w:rPr>
          <w:rStyle w:val="Textoennegrita"/>
          <w:b w:val="0"/>
          <w:bCs w:val="0"/>
        </w:rPr>
        <w:t>0</w:t>
      </w:r>
      <w:r w:rsidRPr="00A92707">
        <w:rPr>
          <w:rStyle w:val="Textoennegrita"/>
          <w:b w:val="0"/>
          <w:bCs w:val="0"/>
        </w:rPr>
        <w:t xml:space="preserve"> documentos</w:t>
      </w:r>
      <w:r>
        <w:rPr>
          <w:rStyle w:val="Textoennegrita"/>
          <w:b w:val="0"/>
          <w:bCs w:val="0"/>
        </w:rPr>
        <w:t xml:space="preserve"> </w:t>
      </w:r>
      <w:r w:rsidRPr="00A92707">
        <w:rPr>
          <w:rStyle w:val="Textoennegrita"/>
          <w:b w:val="0"/>
          <w:bCs w:val="0"/>
        </w:rPr>
        <w:t>que constituyen la base del análisis bibliométrico final.</w:t>
      </w:r>
    </w:p>
    <w:p w14:paraId="7CB6272B" w14:textId="25DEF7CE" w:rsidR="00101059" w:rsidRPr="008B1887" w:rsidRDefault="00101059" w:rsidP="00101059">
      <w:pPr>
        <w:pStyle w:val="Descripcin"/>
        <w:rPr>
          <w:b w:val="0"/>
          <w:bCs w:val="0"/>
          <w:i/>
          <w:iCs/>
        </w:rPr>
      </w:pPr>
      <w:bookmarkStart w:id="12" w:name="_Toc218529127"/>
      <w:r w:rsidRPr="008B1887">
        <w:t xml:space="preserve">Tabla </w:t>
      </w:r>
      <w:r w:rsidR="00084DA0">
        <w:fldChar w:fldCharType="begin"/>
      </w:r>
      <w:r w:rsidR="00084DA0">
        <w:instrText xml:space="preserve"> SEQ Tabla \* ARABIC </w:instrText>
      </w:r>
      <w:r w:rsidR="00084DA0">
        <w:fldChar w:fldCharType="separate"/>
      </w:r>
      <w:r w:rsidR="005A45A4">
        <w:rPr>
          <w:noProof/>
        </w:rPr>
        <w:t>3</w:t>
      </w:r>
      <w:r w:rsidR="00084DA0">
        <w:rPr>
          <w:noProof/>
        </w:rPr>
        <w:fldChar w:fldCharType="end"/>
      </w:r>
      <w:r w:rsidRPr="008B1887">
        <w:t xml:space="preserve">. </w:t>
      </w:r>
      <w:r w:rsidRPr="008B1887">
        <w:rPr>
          <w:b w:val="0"/>
          <w:bCs w:val="0"/>
          <w:color w:val="FFFFFF" w:themeColor="background1"/>
        </w:rPr>
        <w:t xml:space="preserve">Ecuación de Búsqueda </w:t>
      </w:r>
      <w:r>
        <w:rPr>
          <w:b w:val="0"/>
          <w:bCs w:val="0"/>
          <w:color w:val="FFFFFF" w:themeColor="background1"/>
        </w:rPr>
        <w:t>Final</w:t>
      </w:r>
      <w:bookmarkEnd w:id="12"/>
    </w:p>
    <w:p w14:paraId="7309945B" w14:textId="77777777" w:rsidR="00101059" w:rsidRPr="0073237B" w:rsidRDefault="00101059" w:rsidP="00101059">
      <w:pPr>
        <w:pStyle w:val="Descripcin"/>
        <w:rPr>
          <w:b w:val="0"/>
          <w:bCs w:val="0"/>
          <w:i/>
          <w:iCs/>
        </w:rPr>
      </w:pPr>
      <w:r w:rsidRPr="0073237B">
        <w:rPr>
          <w:b w:val="0"/>
          <w:bCs w:val="0"/>
          <w:i/>
          <w:iCs/>
        </w:rPr>
        <w:t>Ecuación de Búsqueda</w:t>
      </w:r>
      <w:r>
        <w:rPr>
          <w:b w:val="0"/>
          <w:bCs w:val="0"/>
          <w:i/>
          <w:iCs/>
        </w:rPr>
        <w:t xml:space="preserve"> Final</w:t>
      </w:r>
    </w:p>
    <w:tbl>
      <w:tblPr>
        <w:tblStyle w:val="Tabladelista6concolores1"/>
        <w:tblW w:w="0" w:type="auto"/>
        <w:tblLook w:val="04A0" w:firstRow="1" w:lastRow="0" w:firstColumn="1" w:lastColumn="0" w:noHBand="0" w:noVBand="1"/>
      </w:tblPr>
      <w:tblGrid>
        <w:gridCol w:w="1049"/>
        <w:gridCol w:w="6852"/>
        <w:gridCol w:w="1459"/>
      </w:tblGrid>
      <w:tr w:rsidR="00101059" w:rsidRPr="00A92707" w14:paraId="3D06358F" w14:textId="77777777" w:rsidTr="00831F1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18D4B16" w14:textId="77777777" w:rsidR="00101059" w:rsidRPr="00A92707" w:rsidRDefault="00101059" w:rsidP="00831F13">
            <w:pPr>
              <w:spacing w:line="240" w:lineRule="auto"/>
              <w:ind w:firstLine="0"/>
              <w:jc w:val="center"/>
              <w:rPr>
                <w:rFonts w:ascii="Times New Roman" w:eastAsia="Times New Roman" w:hAnsi="Times New Roman"/>
                <w:szCs w:val="24"/>
                <w:lang w:eastAsia="es-CO"/>
              </w:rPr>
            </w:pPr>
            <w:r w:rsidRPr="00A92707">
              <w:rPr>
                <w:rFonts w:ascii="Times New Roman" w:eastAsia="Times New Roman" w:hAnsi="Times New Roman"/>
                <w:szCs w:val="24"/>
                <w:lang w:eastAsia="es-CO"/>
              </w:rPr>
              <w:t>Base de datos</w:t>
            </w:r>
          </w:p>
        </w:tc>
        <w:tc>
          <w:tcPr>
            <w:tcW w:w="0" w:type="auto"/>
            <w:hideMark/>
          </w:tcPr>
          <w:p w14:paraId="348677B7" w14:textId="77777777" w:rsidR="00101059" w:rsidRPr="00A92707"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Cs w:val="24"/>
                <w:lang w:eastAsia="es-CO"/>
              </w:rPr>
            </w:pPr>
            <w:r w:rsidRPr="00A92707">
              <w:rPr>
                <w:rFonts w:ascii="Times New Roman" w:eastAsia="Times New Roman" w:hAnsi="Times New Roman"/>
                <w:szCs w:val="24"/>
                <w:lang w:eastAsia="es-CO"/>
              </w:rPr>
              <w:t>Ecuación ajustada</w:t>
            </w:r>
          </w:p>
        </w:tc>
        <w:tc>
          <w:tcPr>
            <w:tcW w:w="0" w:type="auto"/>
            <w:hideMark/>
          </w:tcPr>
          <w:p w14:paraId="25AB7076" w14:textId="77777777" w:rsidR="00101059" w:rsidRPr="00A92707"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Cs w:val="24"/>
                <w:lang w:eastAsia="es-CO"/>
              </w:rPr>
            </w:pPr>
            <w:r w:rsidRPr="00A92707">
              <w:rPr>
                <w:rFonts w:ascii="Times New Roman" w:eastAsia="Times New Roman" w:hAnsi="Times New Roman"/>
                <w:szCs w:val="24"/>
                <w:lang w:eastAsia="es-CO"/>
              </w:rPr>
              <w:t>Resultados finales</w:t>
            </w:r>
          </w:p>
        </w:tc>
      </w:tr>
      <w:tr w:rsidR="00101059" w:rsidRPr="00A92707" w14:paraId="45F617F8" w14:textId="77777777" w:rsidTr="00831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2418EDC" w14:textId="77777777" w:rsidR="00101059" w:rsidRPr="00A92707" w:rsidRDefault="00101059" w:rsidP="00831F13">
            <w:pPr>
              <w:spacing w:line="240" w:lineRule="auto"/>
              <w:ind w:firstLine="0"/>
              <w:jc w:val="left"/>
              <w:rPr>
                <w:rFonts w:ascii="Times New Roman" w:eastAsia="Times New Roman" w:hAnsi="Times New Roman"/>
                <w:szCs w:val="24"/>
                <w:lang w:eastAsia="es-CO"/>
              </w:rPr>
            </w:pPr>
            <w:r w:rsidRPr="00A92707">
              <w:rPr>
                <w:rFonts w:ascii="Times New Roman" w:eastAsia="Times New Roman" w:hAnsi="Times New Roman"/>
                <w:szCs w:val="24"/>
                <w:lang w:eastAsia="es-CO"/>
              </w:rPr>
              <w:t>Scopus</w:t>
            </w:r>
          </w:p>
        </w:tc>
        <w:tc>
          <w:tcPr>
            <w:tcW w:w="0" w:type="auto"/>
            <w:hideMark/>
          </w:tcPr>
          <w:p w14:paraId="18125495" w14:textId="77777777" w:rsidR="00101059" w:rsidRPr="00A92707"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Cs w:val="24"/>
                <w:lang w:val="en-US" w:eastAsia="es-CO"/>
              </w:rPr>
            </w:pPr>
            <w:r w:rsidRPr="005D355D">
              <w:rPr>
                <w:rFonts w:ascii="Times New Roman" w:eastAsia="Times New Roman" w:hAnsi="Times New Roman"/>
                <w:szCs w:val="24"/>
                <w:lang w:val="en-US" w:eastAsia="es-CO"/>
              </w:rPr>
              <w:t xml:space="preserve">TITLE-ABS-KEY ( ( "adventure W/2 </w:t>
            </w:r>
            <w:proofErr w:type="spellStart"/>
            <w:r w:rsidRPr="005D355D">
              <w:rPr>
                <w:rFonts w:ascii="Times New Roman" w:eastAsia="Times New Roman" w:hAnsi="Times New Roman"/>
                <w:szCs w:val="24"/>
                <w:lang w:val="en-US" w:eastAsia="es-CO"/>
              </w:rPr>
              <w:t>touris</w:t>
            </w:r>
            <w:proofErr w:type="spellEnd"/>
            <w:r w:rsidRPr="005D355D">
              <w:rPr>
                <w:rFonts w:ascii="Times New Roman" w:eastAsia="Times New Roman" w:hAnsi="Times New Roman"/>
                <w:szCs w:val="24"/>
                <w:lang w:val="en-US" w:eastAsia="es-CO"/>
              </w:rPr>
              <w:t xml:space="preserve">*" OR "adventure sport*" OR </w:t>
            </w:r>
            <w:proofErr w:type="spellStart"/>
            <w:r w:rsidRPr="005D355D">
              <w:rPr>
                <w:rFonts w:ascii="Times New Roman" w:eastAsia="Times New Roman" w:hAnsi="Times New Roman"/>
                <w:szCs w:val="24"/>
                <w:lang w:val="en-US" w:eastAsia="es-CO"/>
              </w:rPr>
              <w:t>ecotouris</w:t>
            </w:r>
            <w:proofErr w:type="spellEnd"/>
            <w:r w:rsidRPr="005D355D">
              <w:rPr>
                <w:rFonts w:ascii="Times New Roman" w:eastAsia="Times New Roman" w:hAnsi="Times New Roman"/>
                <w:szCs w:val="24"/>
                <w:lang w:val="en-US" w:eastAsia="es-CO"/>
              </w:rPr>
              <w:t xml:space="preserve">* OR "nature-based </w:t>
            </w:r>
            <w:proofErr w:type="spellStart"/>
            <w:r w:rsidRPr="005D355D">
              <w:rPr>
                <w:rFonts w:ascii="Times New Roman" w:eastAsia="Times New Roman" w:hAnsi="Times New Roman"/>
                <w:szCs w:val="24"/>
                <w:lang w:val="en-US" w:eastAsia="es-CO"/>
              </w:rPr>
              <w:t>touris</w:t>
            </w:r>
            <w:proofErr w:type="spellEnd"/>
            <w:r w:rsidRPr="005D355D">
              <w:rPr>
                <w:rFonts w:ascii="Times New Roman" w:eastAsia="Times New Roman" w:hAnsi="Times New Roman"/>
                <w:szCs w:val="24"/>
                <w:lang w:val="en-US" w:eastAsia="es-CO"/>
              </w:rPr>
              <w:t>*" OR "outdoor recreation" ) AND ( "SME*" OR "MSME*" OR "</w:t>
            </w:r>
            <w:proofErr w:type="spellStart"/>
            <w:r w:rsidRPr="005D355D">
              <w:rPr>
                <w:rFonts w:ascii="Times New Roman" w:eastAsia="Times New Roman" w:hAnsi="Times New Roman"/>
                <w:szCs w:val="24"/>
                <w:lang w:val="en-US" w:eastAsia="es-CO"/>
              </w:rPr>
              <w:t>mipyme</w:t>
            </w:r>
            <w:proofErr w:type="spellEnd"/>
            <w:r w:rsidRPr="005D355D">
              <w:rPr>
                <w:rFonts w:ascii="Times New Roman" w:eastAsia="Times New Roman" w:hAnsi="Times New Roman"/>
                <w:szCs w:val="24"/>
                <w:lang w:val="en-US" w:eastAsia="es-CO"/>
              </w:rPr>
              <w:t>*" OR "</w:t>
            </w:r>
            <w:proofErr w:type="spellStart"/>
            <w:r w:rsidRPr="005D355D">
              <w:rPr>
                <w:rFonts w:ascii="Times New Roman" w:eastAsia="Times New Roman" w:hAnsi="Times New Roman"/>
                <w:szCs w:val="24"/>
                <w:lang w:val="en-US" w:eastAsia="es-CO"/>
              </w:rPr>
              <w:t>pyme</w:t>
            </w:r>
            <w:proofErr w:type="spellEnd"/>
            <w:r w:rsidRPr="005D355D">
              <w:rPr>
                <w:rFonts w:ascii="Times New Roman" w:eastAsia="Times New Roman" w:hAnsi="Times New Roman"/>
                <w:szCs w:val="24"/>
                <w:lang w:val="en-US" w:eastAsia="es-CO"/>
              </w:rPr>
              <w:t xml:space="preserve">*" OR "small and medium enterprise*" OR "micro-enterprise*" OR microenterprise* OR "small business*" OR "micro business*" OR </w:t>
            </w:r>
            <w:proofErr w:type="spellStart"/>
            <w:r w:rsidRPr="005D355D">
              <w:rPr>
                <w:rFonts w:ascii="Times New Roman" w:eastAsia="Times New Roman" w:hAnsi="Times New Roman"/>
                <w:szCs w:val="24"/>
                <w:lang w:val="en-US" w:eastAsia="es-CO"/>
              </w:rPr>
              <w:t>entrepren</w:t>
            </w:r>
            <w:proofErr w:type="spellEnd"/>
            <w:r w:rsidRPr="005D355D">
              <w:rPr>
                <w:rFonts w:ascii="Times New Roman" w:eastAsia="Times New Roman" w:hAnsi="Times New Roman"/>
                <w:szCs w:val="24"/>
                <w:lang w:val="en-US" w:eastAsia="es-CO"/>
              </w:rPr>
              <w:t xml:space="preserve">* OR "informal </w:t>
            </w:r>
            <w:proofErr w:type="spellStart"/>
            <w:r w:rsidRPr="005D355D">
              <w:rPr>
                <w:rFonts w:ascii="Times New Roman" w:eastAsia="Times New Roman" w:hAnsi="Times New Roman"/>
                <w:szCs w:val="24"/>
                <w:lang w:val="en-US" w:eastAsia="es-CO"/>
              </w:rPr>
              <w:t>econom</w:t>
            </w:r>
            <w:proofErr w:type="spellEnd"/>
            <w:r w:rsidRPr="005D355D">
              <w:rPr>
                <w:rFonts w:ascii="Times New Roman" w:eastAsia="Times New Roman" w:hAnsi="Times New Roman"/>
                <w:szCs w:val="24"/>
                <w:lang w:val="en-US" w:eastAsia="es-CO"/>
              </w:rPr>
              <w:t xml:space="preserve">*" OR "informal sector" ) AND ( "emerging </w:t>
            </w:r>
            <w:proofErr w:type="spellStart"/>
            <w:r w:rsidRPr="005D355D">
              <w:rPr>
                <w:rFonts w:ascii="Times New Roman" w:eastAsia="Times New Roman" w:hAnsi="Times New Roman"/>
                <w:szCs w:val="24"/>
                <w:lang w:val="en-US" w:eastAsia="es-CO"/>
              </w:rPr>
              <w:t>econom</w:t>
            </w:r>
            <w:proofErr w:type="spellEnd"/>
            <w:r w:rsidRPr="005D355D">
              <w:rPr>
                <w:rFonts w:ascii="Times New Roman" w:eastAsia="Times New Roman" w:hAnsi="Times New Roman"/>
                <w:szCs w:val="24"/>
                <w:lang w:val="en-US" w:eastAsia="es-CO"/>
              </w:rPr>
              <w:t xml:space="preserve">*" OR "developing </w:t>
            </w:r>
            <w:proofErr w:type="spellStart"/>
            <w:r w:rsidRPr="005D355D">
              <w:rPr>
                <w:rFonts w:ascii="Times New Roman" w:eastAsia="Times New Roman" w:hAnsi="Times New Roman"/>
                <w:szCs w:val="24"/>
                <w:lang w:val="en-US" w:eastAsia="es-CO"/>
              </w:rPr>
              <w:t>countr</w:t>
            </w:r>
            <w:proofErr w:type="spellEnd"/>
            <w:r w:rsidRPr="005D355D">
              <w:rPr>
                <w:rFonts w:ascii="Times New Roman" w:eastAsia="Times New Roman" w:hAnsi="Times New Roman"/>
                <w:szCs w:val="24"/>
                <w:lang w:val="en-US" w:eastAsia="es-CO"/>
              </w:rPr>
              <w:t xml:space="preserve">*" OR "Latin America" OR "Global South" OR "low- and middle-income </w:t>
            </w:r>
            <w:proofErr w:type="spellStart"/>
            <w:r w:rsidRPr="005D355D">
              <w:rPr>
                <w:rFonts w:ascii="Times New Roman" w:eastAsia="Times New Roman" w:hAnsi="Times New Roman"/>
                <w:szCs w:val="24"/>
                <w:lang w:val="en-US" w:eastAsia="es-CO"/>
              </w:rPr>
              <w:t>countr</w:t>
            </w:r>
            <w:proofErr w:type="spellEnd"/>
            <w:r w:rsidRPr="005D355D">
              <w:rPr>
                <w:rFonts w:ascii="Times New Roman" w:eastAsia="Times New Roman" w:hAnsi="Times New Roman"/>
                <w:szCs w:val="24"/>
                <w:lang w:val="en-US" w:eastAsia="es-CO"/>
              </w:rPr>
              <w:t>*" OR "LMIC*" ) ) AND PUBYEAR &gt; 2014 AND PUBYEAR &lt; 2026 AND ( LIMIT-TO ( DOCTYPE , "</w:t>
            </w:r>
            <w:proofErr w:type="spellStart"/>
            <w:r w:rsidRPr="005D355D">
              <w:rPr>
                <w:rFonts w:ascii="Times New Roman" w:eastAsia="Times New Roman" w:hAnsi="Times New Roman"/>
                <w:szCs w:val="24"/>
                <w:lang w:val="en-US" w:eastAsia="es-CO"/>
              </w:rPr>
              <w:t>ar</w:t>
            </w:r>
            <w:proofErr w:type="spellEnd"/>
            <w:r w:rsidRPr="005D355D">
              <w:rPr>
                <w:rFonts w:ascii="Times New Roman" w:eastAsia="Times New Roman" w:hAnsi="Times New Roman"/>
                <w:szCs w:val="24"/>
                <w:lang w:val="en-US" w:eastAsia="es-CO"/>
              </w:rPr>
              <w:t>" ) ) AND ( LIMIT-TO ( OA , "all" ) )</w:t>
            </w:r>
          </w:p>
        </w:tc>
        <w:tc>
          <w:tcPr>
            <w:tcW w:w="0" w:type="auto"/>
            <w:hideMark/>
          </w:tcPr>
          <w:p w14:paraId="1243969F" w14:textId="77777777" w:rsidR="00101059" w:rsidRPr="00A92707"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Cs w:val="24"/>
                <w:lang w:eastAsia="es-CO"/>
              </w:rPr>
            </w:pPr>
            <w:r>
              <w:rPr>
                <w:rFonts w:ascii="Times New Roman" w:eastAsia="Times New Roman" w:hAnsi="Times New Roman"/>
                <w:szCs w:val="24"/>
                <w:lang w:eastAsia="es-CO"/>
              </w:rPr>
              <w:t>10</w:t>
            </w:r>
          </w:p>
        </w:tc>
      </w:tr>
    </w:tbl>
    <w:p w14:paraId="0D026681" w14:textId="77777777" w:rsidR="00101059" w:rsidRDefault="00101059" w:rsidP="00101059">
      <w:pPr>
        <w:pStyle w:val="Sinespaciado"/>
      </w:pPr>
    </w:p>
    <w:p w14:paraId="30231B6F" w14:textId="77777777" w:rsidR="00101059" w:rsidRDefault="00101059" w:rsidP="00101059">
      <w:pPr>
        <w:pStyle w:val="Sinespaciado"/>
      </w:pPr>
      <w:r>
        <w:t>La siguiente figura presenta la estructura PRISMA realizada.</w:t>
      </w:r>
    </w:p>
    <w:p w14:paraId="4DE0507C" w14:textId="3CB72744" w:rsidR="00101059" w:rsidRPr="00557D7C" w:rsidRDefault="00101059" w:rsidP="00101059">
      <w:pPr>
        <w:pStyle w:val="Descripcin"/>
        <w:rPr>
          <w:b w:val="0"/>
          <w:bCs w:val="0"/>
          <w:i/>
          <w:iCs/>
        </w:rPr>
      </w:pPr>
      <w:bookmarkStart w:id="13" w:name="_Toc218596656"/>
      <w:r w:rsidRPr="00557D7C">
        <w:lastRenderedPageBreak/>
        <w:t xml:space="preserve">Figura </w:t>
      </w:r>
      <w:r w:rsidR="00084DA0">
        <w:fldChar w:fldCharType="begin"/>
      </w:r>
      <w:r w:rsidR="00084DA0">
        <w:instrText xml:space="preserve"> SEQ Figura \* ARABIC </w:instrText>
      </w:r>
      <w:r w:rsidR="00084DA0">
        <w:fldChar w:fldCharType="separate"/>
      </w:r>
      <w:r w:rsidR="005A45A4">
        <w:rPr>
          <w:noProof/>
        </w:rPr>
        <w:t>1</w:t>
      </w:r>
      <w:r w:rsidR="00084DA0">
        <w:rPr>
          <w:noProof/>
        </w:rPr>
        <w:fldChar w:fldCharType="end"/>
      </w:r>
      <w:r w:rsidRPr="00557D7C">
        <w:t xml:space="preserve"> </w:t>
      </w:r>
      <w:r w:rsidRPr="00B93AA9">
        <w:rPr>
          <w:b w:val="0"/>
          <w:bCs w:val="0"/>
          <w:i/>
          <w:iCs/>
          <w:color w:val="FFFFFF"/>
        </w:rPr>
        <w:t>Diagrama Prisma</w:t>
      </w:r>
      <w:bookmarkEnd w:id="13"/>
    </w:p>
    <w:p w14:paraId="317C72C0" w14:textId="77777777" w:rsidR="00101059" w:rsidRDefault="00101059" w:rsidP="00101059">
      <w:pPr>
        <w:pStyle w:val="Descripcin"/>
        <w:rPr>
          <w:b w:val="0"/>
          <w:bCs w:val="0"/>
          <w:i/>
          <w:iCs/>
        </w:rPr>
      </w:pPr>
      <w:r>
        <w:rPr>
          <w:b w:val="0"/>
          <w:bCs w:val="0"/>
          <w:i/>
          <w:iCs/>
        </w:rPr>
        <w:t>Diagrama PRISMA</w:t>
      </w:r>
    </w:p>
    <w:p w14:paraId="0E4AF117" w14:textId="77777777" w:rsidR="00101059" w:rsidRDefault="00101059" w:rsidP="00101059">
      <w:pPr>
        <w:pStyle w:val="FigyTablas"/>
      </w:pPr>
      <w:r w:rsidRPr="00F4638E">
        <w:drawing>
          <wp:inline distT="0" distB="0" distL="0" distR="0" wp14:anchorId="39B65CC8" wp14:editId="4D22B677">
            <wp:extent cx="5046789" cy="4813300"/>
            <wp:effectExtent l="0" t="0" r="0" b="635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7714" r="15116"/>
                    <a:stretch/>
                  </pic:blipFill>
                  <pic:spPr bwMode="auto">
                    <a:xfrm>
                      <a:off x="0" y="0"/>
                      <a:ext cx="5062010" cy="4827817"/>
                    </a:xfrm>
                    <a:prstGeom prst="rect">
                      <a:avLst/>
                    </a:prstGeom>
                    <a:noFill/>
                    <a:ln>
                      <a:noFill/>
                    </a:ln>
                    <a:extLst>
                      <a:ext uri="{53640926-AAD7-44D8-BBD7-CCE9431645EC}">
                        <a14:shadowObscured xmlns:a14="http://schemas.microsoft.com/office/drawing/2010/main"/>
                      </a:ext>
                    </a:extLst>
                  </pic:spPr>
                </pic:pic>
              </a:graphicData>
            </a:graphic>
          </wp:inline>
        </w:drawing>
      </w:r>
    </w:p>
    <w:p w14:paraId="6C0FC1D1" w14:textId="77777777" w:rsidR="00101059" w:rsidRDefault="00101059" w:rsidP="00101059"/>
    <w:p w14:paraId="7916F2F4" w14:textId="77777777" w:rsidR="00101059" w:rsidRDefault="00101059" w:rsidP="00C63968">
      <w:pPr>
        <w:spacing w:line="360" w:lineRule="auto"/>
      </w:pPr>
      <w:r>
        <w:t>A partir de los resultados obtenidos, se construye una base conceptual sólida que permite identificar tendencias, enfoques y problemáticas recurrentes en la literatura académica. Este insumo sirve como punto de partida para contrastar los hallazgos del análisis digital y documental, facilitando una triangulación integral y coherente de los resultados de la investigación.</w:t>
      </w:r>
    </w:p>
    <w:p w14:paraId="0E1E3F1C" w14:textId="5F14E6E1" w:rsidR="00101059" w:rsidRPr="00557D7C" w:rsidRDefault="00101059" w:rsidP="00C63968">
      <w:pPr>
        <w:pStyle w:val="Descripcin"/>
        <w:spacing w:line="360" w:lineRule="auto"/>
        <w:rPr>
          <w:b w:val="0"/>
          <w:bCs w:val="0"/>
          <w:i/>
          <w:iCs/>
        </w:rPr>
      </w:pPr>
      <w:bookmarkStart w:id="14" w:name="_Ref188719056"/>
      <w:bookmarkStart w:id="15" w:name="_Toc188018978"/>
      <w:bookmarkStart w:id="16" w:name="_Toc218596657"/>
      <w:r w:rsidRPr="00557D7C">
        <w:lastRenderedPageBreak/>
        <w:t xml:space="preserve">Figura </w:t>
      </w:r>
      <w:r w:rsidR="00084DA0">
        <w:fldChar w:fldCharType="begin"/>
      </w:r>
      <w:r w:rsidR="00084DA0">
        <w:instrText xml:space="preserve"> SEQ Figura \* ARABIC </w:instrText>
      </w:r>
      <w:r w:rsidR="00084DA0">
        <w:fldChar w:fldCharType="separate"/>
      </w:r>
      <w:r w:rsidR="005A45A4">
        <w:rPr>
          <w:noProof/>
        </w:rPr>
        <w:t>2</w:t>
      </w:r>
      <w:r w:rsidR="00084DA0">
        <w:rPr>
          <w:noProof/>
        </w:rPr>
        <w:fldChar w:fldCharType="end"/>
      </w:r>
      <w:bookmarkEnd w:id="14"/>
      <w:r w:rsidRPr="00557D7C">
        <w:t xml:space="preserve"> </w:t>
      </w:r>
      <w:r w:rsidRPr="00557D7C">
        <w:rPr>
          <w:b w:val="0"/>
          <w:bCs w:val="0"/>
          <w:i/>
          <w:iCs/>
          <w:color w:val="FFFFFF"/>
        </w:rPr>
        <w:t>Artículos publicados por año.</w:t>
      </w:r>
      <w:bookmarkEnd w:id="15"/>
      <w:bookmarkEnd w:id="16"/>
    </w:p>
    <w:p w14:paraId="3967DF94" w14:textId="77777777" w:rsidR="00101059" w:rsidRDefault="00101059" w:rsidP="00C63968">
      <w:pPr>
        <w:pStyle w:val="Descripcin"/>
        <w:spacing w:line="360" w:lineRule="auto"/>
        <w:rPr>
          <w:b w:val="0"/>
          <w:bCs w:val="0"/>
          <w:i/>
          <w:iCs/>
        </w:rPr>
      </w:pPr>
      <w:r w:rsidRPr="00557D7C">
        <w:rPr>
          <w:b w:val="0"/>
          <w:bCs w:val="0"/>
          <w:i/>
          <w:iCs/>
        </w:rPr>
        <w:t>Artículos publicados por año</w:t>
      </w:r>
    </w:p>
    <w:p w14:paraId="60F8F267" w14:textId="77777777" w:rsidR="00101059" w:rsidRDefault="00101059" w:rsidP="00C63968">
      <w:pPr>
        <w:pStyle w:val="FigyTablas"/>
        <w:spacing w:line="360" w:lineRule="auto"/>
        <w:rPr>
          <w:b/>
          <w:bCs/>
        </w:rPr>
      </w:pPr>
      <w:r w:rsidRPr="00D571F4">
        <w:rPr>
          <w:b/>
          <w:bCs/>
        </w:rPr>
        <w:drawing>
          <wp:inline distT="0" distB="0" distL="0" distR="0" wp14:anchorId="6850DE33" wp14:editId="34DBF1A7">
            <wp:extent cx="4495800" cy="2507753"/>
            <wp:effectExtent l="0" t="0" r="0" b="698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06371" cy="2513649"/>
                    </a:xfrm>
                    <a:prstGeom prst="rect">
                      <a:avLst/>
                    </a:prstGeom>
                  </pic:spPr>
                </pic:pic>
              </a:graphicData>
            </a:graphic>
          </wp:inline>
        </w:drawing>
      </w:r>
    </w:p>
    <w:p w14:paraId="497837C1" w14:textId="77777777" w:rsidR="00101059" w:rsidRPr="00B24502" w:rsidRDefault="00101059" w:rsidP="00C63968">
      <w:pPr>
        <w:pStyle w:val="FigyTablas"/>
        <w:spacing w:line="360" w:lineRule="auto"/>
        <w:jc w:val="both"/>
        <w:rPr>
          <w:sz w:val="20"/>
          <w:szCs w:val="18"/>
          <w:highlight w:val="lightGray"/>
        </w:rPr>
      </w:pPr>
      <w:r w:rsidRPr="00B24502">
        <w:rPr>
          <w:i/>
          <w:iCs/>
          <w:sz w:val="20"/>
          <w:szCs w:val="18"/>
        </w:rPr>
        <w:t>Fuente:</w:t>
      </w:r>
      <w:r w:rsidRPr="00B24502">
        <w:rPr>
          <w:sz w:val="20"/>
          <w:szCs w:val="18"/>
        </w:rPr>
        <w:t xml:space="preserve"> Elaboración propia con datos de Scopus Analyzer (2024).</w:t>
      </w:r>
    </w:p>
    <w:p w14:paraId="23FFB4E4" w14:textId="77777777" w:rsidR="00101059" w:rsidRDefault="00101059" w:rsidP="00C63968">
      <w:pPr>
        <w:spacing w:line="360" w:lineRule="auto"/>
        <w:rPr>
          <w:highlight w:val="lightGray"/>
        </w:rPr>
      </w:pPr>
    </w:p>
    <w:p w14:paraId="23CB5723" w14:textId="583C21AB" w:rsidR="00101059" w:rsidRDefault="00101059" w:rsidP="00C63968">
      <w:pPr>
        <w:spacing w:line="360" w:lineRule="auto"/>
      </w:pPr>
      <w:r w:rsidRPr="00D14C11">
        <w:t xml:space="preserve">Analizando las publicaciones por año en la revisión de literatura, </w:t>
      </w:r>
      <w:r>
        <w:t>l</w:t>
      </w:r>
      <w:r w:rsidRPr="00654692">
        <w:t xml:space="preserve">a distribución </w:t>
      </w:r>
      <w:r>
        <w:t xml:space="preserve">de la </w:t>
      </w:r>
      <w:r>
        <w:fldChar w:fldCharType="begin"/>
      </w:r>
      <w:r>
        <w:instrText xml:space="preserve"> REF _Ref188719056 \h </w:instrText>
      </w:r>
      <w:r w:rsidR="00C63968">
        <w:instrText xml:space="preserve"> \* MERGEFORMAT </w:instrText>
      </w:r>
      <w:r>
        <w:fldChar w:fldCharType="separate"/>
      </w:r>
      <w:r w:rsidR="005A45A4" w:rsidRPr="00557D7C">
        <w:t xml:space="preserve">Figura </w:t>
      </w:r>
      <w:r w:rsidR="005A45A4">
        <w:rPr>
          <w:noProof/>
        </w:rPr>
        <w:t>2</w:t>
      </w:r>
      <w:r>
        <w:fldChar w:fldCharType="end"/>
      </w:r>
      <w:r>
        <w:t xml:space="preserve"> </w:t>
      </w:r>
      <w:r w:rsidRPr="00654692">
        <w:t>muestra fluctuaciones en la cantidad de publicaciones a lo largo de los años, con picos</w:t>
      </w:r>
      <w:r>
        <w:t xml:space="preserve"> en los últimos años y un descenso en los años 2021 y 2022, derivados seguramente por la pandemia del COVID 19.  Los años de mayor publicación son 2023 y 2024.</w:t>
      </w:r>
    </w:p>
    <w:p w14:paraId="3F082FB9" w14:textId="77777777" w:rsidR="00101059" w:rsidRDefault="00101059" w:rsidP="00C63968">
      <w:pPr>
        <w:spacing w:line="360" w:lineRule="auto"/>
      </w:pPr>
      <w:r>
        <w:t xml:space="preserve">La figura muestra la distribución de documentos según la afiliación institucional de los autores en el campo del turismo de aventura y la gestión de MiPymes en contextos emergentes. </w:t>
      </w:r>
    </w:p>
    <w:p w14:paraId="381B8F7E" w14:textId="77777777" w:rsidR="00101059" w:rsidRDefault="00101059" w:rsidP="00C63968">
      <w:pPr>
        <w:spacing w:line="360" w:lineRule="auto"/>
      </w:pPr>
      <w:r>
        <w:t xml:space="preserve"> </w:t>
      </w:r>
    </w:p>
    <w:p w14:paraId="145CB2F6" w14:textId="4723FFF5" w:rsidR="00101059" w:rsidRDefault="00101059" w:rsidP="00C63968">
      <w:pPr>
        <w:pStyle w:val="Descripcin"/>
        <w:spacing w:line="360" w:lineRule="auto"/>
        <w:rPr>
          <w:b w:val="0"/>
          <w:bCs w:val="0"/>
          <w:i/>
          <w:iCs/>
        </w:rPr>
      </w:pPr>
      <w:bookmarkStart w:id="17" w:name="_Ref188719318"/>
      <w:bookmarkStart w:id="18" w:name="_Toc188018979"/>
      <w:bookmarkStart w:id="19" w:name="_Toc218596658"/>
      <w:r w:rsidRPr="00332824">
        <w:lastRenderedPageBreak/>
        <w:t xml:space="preserve">Figura </w:t>
      </w:r>
      <w:r w:rsidR="00084DA0">
        <w:fldChar w:fldCharType="begin"/>
      </w:r>
      <w:r w:rsidR="00084DA0">
        <w:instrText xml:space="preserve"> SEQ Figura \* ARABIC </w:instrText>
      </w:r>
      <w:r w:rsidR="00084DA0">
        <w:fldChar w:fldCharType="separate"/>
      </w:r>
      <w:r w:rsidR="005A45A4">
        <w:rPr>
          <w:noProof/>
        </w:rPr>
        <w:t>3</w:t>
      </w:r>
      <w:r w:rsidR="00084DA0">
        <w:rPr>
          <w:noProof/>
        </w:rPr>
        <w:fldChar w:fldCharType="end"/>
      </w:r>
      <w:bookmarkEnd w:id="17"/>
      <w:r w:rsidRPr="00332824">
        <w:t>.</w:t>
      </w:r>
      <w:bookmarkEnd w:id="18"/>
      <w:r>
        <w:br/>
      </w:r>
      <w:r w:rsidRPr="00332824">
        <w:rPr>
          <w:b w:val="0"/>
          <w:bCs w:val="0"/>
          <w:i/>
          <w:iCs/>
        </w:rPr>
        <w:t>P</w:t>
      </w:r>
      <w:r>
        <w:rPr>
          <w:b w:val="0"/>
          <w:bCs w:val="0"/>
          <w:i/>
          <w:iCs/>
        </w:rPr>
        <w:t>roducción científica por afiliación</w:t>
      </w:r>
      <w:bookmarkEnd w:id="19"/>
    </w:p>
    <w:p w14:paraId="434A4735" w14:textId="77777777" w:rsidR="00101059" w:rsidRDefault="00101059" w:rsidP="00C63968">
      <w:pPr>
        <w:pStyle w:val="FigyTablas"/>
        <w:spacing w:line="360" w:lineRule="auto"/>
      </w:pPr>
      <w:r w:rsidRPr="00496AD7">
        <w:drawing>
          <wp:inline distT="0" distB="0" distL="0" distR="0" wp14:anchorId="3AFB0C6E" wp14:editId="418B0A60">
            <wp:extent cx="5168900" cy="2375706"/>
            <wp:effectExtent l="0" t="0" r="0" b="571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172088" cy="2377171"/>
                    </a:xfrm>
                    <a:prstGeom prst="rect">
                      <a:avLst/>
                    </a:prstGeom>
                  </pic:spPr>
                </pic:pic>
              </a:graphicData>
            </a:graphic>
          </wp:inline>
        </w:drawing>
      </w:r>
    </w:p>
    <w:p w14:paraId="139A8CCE" w14:textId="77777777" w:rsidR="00101059" w:rsidRPr="00B24502" w:rsidRDefault="00101059" w:rsidP="00C63968">
      <w:pPr>
        <w:pStyle w:val="FigyTablas"/>
        <w:spacing w:line="360" w:lineRule="auto"/>
        <w:jc w:val="both"/>
        <w:rPr>
          <w:sz w:val="20"/>
          <w:szCs w:val="18"/>
          <w:highlight w:val="lightGray"/>
        </w:rPr>
      </w:pPr>
      <w:r w:rsidRPr="00B24502">
        <w:rPr>
          <w:i/>
          <w:iCs/>
          <w:sz w:val="20"/>
          <w:szCs w:val="18"/>
        </w:rPr>
        <w:t>Fuente:</w:t>
      </w:r>
      <w:r w:rsidRPr="00B24502">
        <w:rPr>
          <w:sz w:val="20"/>
          <w:szCs w:val="18"/>
        </w:rPr>
        <w:t xml:space="preserve"> Elaboración propia con datos de Scopus Analyzer (2024).</w:t>
      </w:r>
    </w:p>
    <w:p w14:paraId="64D0D346" w14:textId="77777777" w:rsidR="00101059" w:rsidRDefault="00101059" w:rsidP="00C63968">
      <w:pPr>
        <w:pStyle w:val="FigyTablas"/>
        <w:spacing w:line="360" w:lineRule="auto"/>
        <w:jc w:val="both"/>
      </w:pPr>
    </w:p>
    <w:p w14:paraId="3A4610ED" w14:textId="77777777" w:rsidR="00101059" w:rsidRDefault="00101059" w:rsidP="00C63968">
      <w:pPr>
        <w:spacing w:line="360" w:lineRule="auto"/>
      </w:pPr>
      <w:r>
        <w:t xml:space="preserve">Se observa una participación altamente dispersa, donde la </w:t>
      </w:r>
      <w:proofErr w:type="spellStart"/>
      <w:r>
        <w:t>University</w:t>
      </w:r>
      <w:proofErr w:type="spellEnd"/>
      <w:r>
        <w:t xml:space="preserve"> </w:t>
      </w:r>
      <w:proofErr w:type="spellStart"/>
      <w:r>
        <w:t>of</w:t>
      </w:r>
      <w:proofErr w:type="spellEnd"/>
      <w:r>
        <w:t xml:space="preserve"> </w:t>
      </w:r>
      <w:proofErr w:type="spellStart"/>
      <w:r>
        <w:t>Tehran</w:t>
      </w:r>
      <w:proofErr w:type="spellEnd"/>
      <w:r>
        <w:t xml:space="preserve"> destaca como la institución con mayor número de publicaciones (2 documentos), mientras que el resto de las instituciones presenta una contribución individual de un solo artículo.</w:t>
      </w:r>
    </w:p>
    <w:p w14:paraId="2D042E8A" w14:textId="77777777" w:rsidR="00101059" w:rsidRDefault="00101059" w:rsidP="00C63968">
      <w:pPr>
        <w:spacing w:line="360" w:lineRule="auto"/>
      </w:pPr>
      <w:r>
        <w:t xml:space="preserve">Este comportamiento refleja un patrón de investigación fragmentado y poco consolidado, característico de campos temáticos emergentes o interdisciplinarios. La presencia de autores identificados como </w:t>
      </w:r>
      <w:proofErr w:type="spellStart"/>
      <w:r w:rsidRPr="00D571F4">
        <w:rPr>
          <w:i/>
          <w:iCs/>
        </w:rPr>
        <w:t>Independent</w:t>
      </w:r>
      <w:proofErr w:type="spellEnd"/>
      <w:r w:rsidRPr="00D571F4">
        <w:rPr>
          <w:i/>
          <w:iCs/>
        </w:rPr>
        <w:t xml:space="preserve"> </w:t>
      </w:r>
      <w:proofErr w:type="spellStart"/>
      <w:r w:rsidRPr="00D571F4">
        <w:rPr>
          <w:i/>
          <w:iCs/>
        </w:rPr>
        <w:t>Researchers</w:t>
      </w:r>
      <w:proofErr w:type="spellEnd"/>
      <w:r>
        <w:t xml:space="preserve"> sugiere que parte de la producción académica proviene de esfuerzos individuales o colaboraciones fuera de estructuras institucionales formales, lo cual coincide con la naturaleza exploratoria del tema y su desarrollo desigual entre regiones.</w:t>
      </w:r>
    </w:p>
    <w:p w14:paraId="147A20D4" w14:textId="77777777" w:rsidR="00101059" w:rsidRDefault="00101059" w:rsidP="00C63968">
      <w:pPr>
        <w:spacing w:line="360" w:lineRule="auto"/>
      </w:pPr>
      <w:r>
        <w:t>Asimismo, la diversidad geográfica de las instituciones (que incluye universidades de Irán, Sudáfrica, Ecuador, Japón, los Países Bajos y Australia) evidencia un interés global pero no concentrado en el estudio del turismo de aventura y las pequeñas empresas. La participación de universidades latinoamericanas, como la Universidad de las Américas (Ecuador) o la Universidad del Magdalena (Colombia) indica un aporte de la región a las discusiones internacionales sobre turismo sostenible y emprendimiento en economías emergentes.</w:t>
      </w:r>
    </w:p>
    <w:p w14:paraId="4A128083" w14:textId="40CF53F9" w:rsidR="00101059" w:rsidRDefault="00101059" w:rsidP="00C63968">
      <w:pPr>
        <w:spacing w:line="360" w:lineRule="auto"/>
      </w:pPr>
      <w:r>
        <w:t xml:space="preserve">También se realizó un análisis de tendencias. La visualización de coocurrencia de palabras clave generada revela una estructura temática compleja y articulada, en la que destacan una serie de términos fuertemente interrelacionados que permiten identificar los núcleos conceptuales </w:t>
      </w:r>
      <w:r>
        <w:lastRenderedPageBreak/>
        <w:t>predominantes en la literatura reciente sobre turismo de aventura, sostenibilidad y emprendimiento en contextos emergentes.</w:t>
      </w:r>
    </w:p>
    <w:p w14:paraId="42D8F728" w14:textId="77777777" w:rsidR="00101059" w:rsidRDefault="00101059" w:rsidP="00C63968">
      <w:pPr>
        <w:pStyle w:val="Sinespaciado"/>
        <w:spacing w:line="360" w:lineRule="auto"/>
      </w:pPr>
      <w:r>
        <w:t>La palabra clave “</w:t>
      </w:r>
      <w:proofErr w:type="spellStart"/>
      <w:r>
        <w:t>ecotourism</w:t>
      </w:r>
      <w:proofErr w:type="spellEnd"/>
      <w:r>
        <w:t>” aparece en una posición central dentro de la red, actuando como eje vertebrador desde el cual se ramifican diversos conceptos relacionados con el desarrollo turístico, el emprendimiento y la sostenibilidad. Esta centralidad sugiere que el ecoturismo no solo constituye el campo específico de estudio, sino que también articula discusiones más amplias sobre desarrollo local, transformación territorial y gestión empresarial.</w:t>
      </w:r>
    </w:p>
    <w:p w14:paraId="188EA402" w14:textId="77777777" w:rsidR="00101059" w:rsidRDefault="00101059" w:rsidP="00C63968">
      <w:pPr>
        <w:spacing w:line="360" w:lineRule="auto"/>
      </w:pPr>
    </w:p>
    <w:p w14:paraId="33369879" w14:textId="171C10AC" w:rsidR="00101059" w:rsidRPr="00DA0A22" w:rsidRDefault="00101059" w:rsidP="00C63968">
      <w:pPr>
        <w:pStyle w:val="Descripcin"/>
        <w:spacing w:line="360" w:lineRule="auto"/>
        <w:rPr>
          <w:b w:val="0"/>
          <w:bCs w:val="0"/>
          <w:i/>
          <w:iCs/>
        </w:rPr>
      </w:pPr>
      <w:bookmarkStart w:id="20" w:name="_Toc218596662"/>
      <w:bookmarkStart w:id="21" w:name="_Ref188719422"/>
      <w:bookmarkStart w:id="22" w:name="_Toc188018982"/>
      <w:r w:rsidRPr="00DA0A22">
        <w:t xml:space="preserve">Figura </w:t>
      </w:r>
      <w:r w:rsidR="00084DA0">
        <w:fldChar w:fldCharType="begin"/>
      </w:r>
      <w:r w:rsidR="00084DA0">
        <w:instrText xml:space="preserve"> SEQ Figura \* ARABIC </w:instrText>
      </w:r>
      <w:r w:rsidR="00084DA0">
        <w:fldChar w:fldCharType="separate"/>
      </w:r>
      <w:r w:rsidR="005A45A4">
        <w:rPr>
          <w:noProof/>
        </w:rPr>
        <w:t>7</w:t>
      </w:r>
      <w:r w:rsidR="00084DA0">
        <w:rPr>
          <w:noProof/>
        </w:rPr>
        <w:fldChar w:fldCharType="end"/>
      </w:r>
      <w:r w:rsidRPr="00DA0A22">
        <w:t>.</w:t>
      </w:r>
      <w:r w:rsidRPr="00DA0A22">
        <w:rPr>
          <w:b w:val="0"/>
          <w:bCs w:val="0"/>
          <w:i/>
          <w:iCs/>
          <w:color w:val="FFFFFF"/>
        </w:rPr>
        <w:t>.</w:t>
      </w:r>
      <w:r>
        <w:rPr>
          <w:b w:val="0"/>
          <w:bCs w:val="0"/>
          <w:i/>
          <w:iCs/>
        </w:rPr>
        <w:br/>
      </w:r>
      <w:r w:rsidRPr="00310CB2">
        <w:rPr>
          <w:b w:val="0"/>
          <w:bCs w:val="0"/>
          <w:i/>
          <w:iCs/>
        </w:rPr>
        <w:t>Clústeres en Coocurrencia de Palabras Claves</w:t>
      </w:r>
      <w:r>
        <w:rPr>
          <w:b w:val="0"/>
          <w:bCs w:val="0"/>
          <w:i/>
          <w:iCs/>
        </w:rPr>
        <w:t>.</w:t>
      </w:r>
      <w:bookmarkEnd w:id="20"/>
    </w:p>
    <w:bookmarkEnd w:id="21"/>
    <w:bookmarkEnd w:id="22"/>
    <w:p w14:paraId="50843931" w14:textId="77777777" w:rsidR="00101059" w:rsidRPr="007C0C36" w:rsidRDefault="00101059" w:rsidP="00C63968">
      <w:pPr>
        <w:pStyle w:val="FigyTablas"/>
        <w:spacing w:line="360" w:lineRule="auto"/>
      </w:pPr>
      <w:r w:rsidRPr="00AD7408">
        <w:drawing>
          <wp:inline distT="0" distB="0" distL="0" distR="0" wp14:anchorId="51CAA226" wp14:editId="65BB6B43">
            <wp:extent cx="5943600" cy="373888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738880"/>
                    </a:xfrm>
                    <a:prstGeom prst="rect">
                      <a:avLst/>
                    </a:prstGeom>
                  </pic:spPr>
                </pic:pic>
              </a:graphicData>
            </a:graphic>
          </wp:inline>
        </w:drawing>
      </w:r>
    </w:p>
    <w:p w14:paraId="7B92E177" w14:textId="77777777" w:rsidR="00101059" w:rsidRDefault="00101059" w:rsidP="00C63968">
      <w:pPr>
        <w:shd w:val="clear" w:color="auto" w:fill="FFFFFF"/>
        <w:spacing w:line="360" w:lineRule="auto"/>
        <w:ind w:firstLine="0"/>
        <w:rPr>
          <w:sz w:val="20"/>
          <w:szCs w:val="18"/>
        </w:rPr>
      </w:pPr>
      <w:r w:rsidRPr="0058612C">
        <w:rPr>
          <w:i/>
          <w:iCs/>
          <w:sz w:val="20"/>
          <w:szCs w:val="18"/>
        </w:rPr>
        <w:t xml:space="preserve">Nota: </w:t>
      </w:r>
      <w:r w:rsidRPr="0058612C">
        <w:rPr>
          <w:sz w:val="20"/>
          <w:szCs w:val="18"/>
        </w:rPr>
        <w:t xml:space="preserve">Figura extraída del software </w:t>
      </w:r>
      <w:r>
        <w:rPr>
          <w:sz w:val="20"/>
          <w:szCs w:val="18"/>
        </w:rPr>
        <w:t>“</w:t>
      </w:r>
      <w:proofErr w:type="spellStart"/>
      <w:r w:rsidRPr="0058612C">
        <w:rPr>
          <w:sz w:val="20"/>
          <w:szCs w:val="18"/>
        </w:rPr>
        <w:t>Vosviewer</w:t>
      </w:r>
      <w:proofErr w:type="spellEnd"/>
      <w:r>
        <w:rPr>
          <w:sz w:val="20"/>
          <w:szCs w:val="18"/>
        </w:rPr>
        <w:t>”</w:t>
      </w:r>
      <w:r w:rsidRPr="0058612C">
        <w:rPr>
          <w:sz w:val="20"/>
          <w:szCs w:val="18"/>
        </w:rPr>
        <w:t xml:space="preserve"> con los artículos resultantes de la </w:t>
      </w:r>
      <w:r>
        <w:rPr>
          <w:sz w:val="20"/>
          <w:szCs w:val="18"/>
        </w:rPr>
        <w:t>revisión de literatura</w:t>
      </w:r>
      <w:r w:rsidRPr="0058612C">
        <w:rPr>
          <w:sz w:val="20"/>
          <w:szCs w:val="18"/>
        </w:rPr>
        <w:t>.</w:t>
      </w:r>
    </w:p>
    <w:p w14:paraId="4CE09C2C" w14:textId="77777777" w:rsidR="00101059" w:rsidRDefault="00101059" w:rsidP="00C63968">
      <w:pPr>
        <w:spacing w:line="360" w:lineRule="auto"/>
      </w:pPr>
    </w:p>
    <w:p w14:paraId="5FD42D42" w14:textId="77777777" w:rsidR="00101059" w:rsidRDefault="00101059" w:rsidP="00C63968">
      <w:pPr>
        <w:pStyle w:val="Sinespaciado"/>
        <w:spacing w:line="360" w:lineRule="auto"/>
      </w:pPr>
      <w:r>
        <w:t>Vinculado estrechamente a este nodo central se encuentran términos como “</w:t>
      </w:r>
      <w:proofErr w:type="spellStart"/>
      <w:r>
        <w:t>entrepreneur</w:t>
      </w:r>
      <w:proofErr w:type="spellEnd"/>
      <w:r>
        <w:t>”, “</w:t>
      </w:r>
      <w:proofErr w:type="spellStart"/>
      <w:r>
        <w:t>tourism</w:t>
      </w:r>
      <w:proofErr w:type="spellEnd"/>
      <w:r>
        <w:t xml:space="preserve"> </w:t>
      </w:r>
      <w:proofErr w:type="spellStart"/>
      <w:r>
        <w:t>development</w:t>
      </w:r>
      <w:proofErr w:type="spellEnd"/>
      <w:r>
        <w:t>”, “</w:t>
      </w:r>
      <w:proofErr w:type="spellStart"/>
      <w:r>
        <w:t>sustainable</w:t>
      </w:r>
      <w:proofErr w:type="spellEnd"/>
      <w:r>
        <w:t xml:space="preserve"> </w:t>
      </w:r>
      <w:proofErr w:type="spellStart"/>
      <w:r>
        <w:t>development</w:t>
      </w:r>
      <w:proofErr w:type="spellEnd"/>
      <w:r>
        <w:t>” y “</w:t>
      </w:r>
      <w:proofErr w:type="spellStart"/>
      <w:r>
        <w:t>stakeholder</w:t>
      </w:r>
      <w:proofErr w:type="spellEnd"/>
      <w:r>
        <w:t xml:space="preserve">”, lo que indica que el papel del emprendedor en el contexto del desarrollo turístico sostenible constituye una preocupación </w:t>
      </w:r>
      <w:r>
        <w:lastRenderedPageBreak/>
        <w:t>transversal en los estudios revisados. La articulación entre estos conceptos refuerza la idea de que el emprendimiento turístico se concibe como motor de transformación en áreas rurales.</w:t>
      </w:r>
    </w:p>
    <w:p w14:paraId="75565C11" w14:textId="77777777" w:rsidR="00101059" w:rsidRDefault="00101059" w:rsidP="00C63968">
      <w:pPr>
        <w:pStyle w:val="Ttulo2"/>
        <w:spacing w:line="360" w:lineRule="auto"/>
        <w:rPr>
          <w:lang w:val="es-ES_tradnl"/>
        </w:rPr>
      </w:pPr>
      <w:bookmarkStart w:id="23" w:name="_Toc182176446"/>
      <w:bookmarkStart w:id="24" w:name="_Toc218596630"/>
      <w:r>
        <w:rPr>
          <w:lang w:val="es-ES_tradnl"/>
        </w:rPr>
        <w:t>Revisión</w:t>
      </w:r>
      <w:r w:rsidRPr="00413CB6">
        <w:rPr>
          <w:lang w:val="es-ES_tradnl"/>
        </w:rPr>
        <w:t xml:space="preserve"> </w:t>
      </w:r>
      <w:bookmarkEnd w:id="23"/>
      <w:r w:rsidRPr="00413CB6">
        <w:rPr>
          <w:lang w:val="es-ES_tradnl"/>
        </w:rPr>
        <w:t>de Literatura</w:t>
      </w:r>
      <w:r>
        <w:rPr>
          <w:lang w:val="es-ES_tradnl"/>
        </w:rPr>
        <w:t xml:space="preserve"> Turismo de Aventura</w:t>
      </w:r>
      <w:bookmarkEnd w:id="24"/>
      <w:r>
        <w:rPr>
          <w:lang w:val="es-ES_tradnl"/>
        </w:rPr>
        <w:t xml:space="preserve"> </w:t>
      </w:r>
    </w:p>
    <w:p w14:paraId="0D1701AC" w14:textId="403A65C1" w:rsidR="00101059" w:rsidRDefault="00101059" w:rsidP="00C63968">
      <w:pPr>
        <w:pStyle w:val="Sinespaciado"/>
        <w:spacing w:line="360" w:lineRule="auto"/>
        <w:rPr>
          <w:lang w:val="es-ES_tradnl"/>
        </w:rPr>
      </w:pPr>
      <w:r w:rsidRPr="00171753">
        <w:rPr>
          <w:lang w:val="es-ES_tradnl"/>
        </w:rPr>
        <w:t>A partir de una revisión se abordan cuatro ejes temáticos que permiten comprender cómo se configura este tipo de turismo en escenarios complejos marcados por la desigualdad social, la fragilidad ambiental y la limitada institucionalidad local</w:t>
      </w:r>
      <w:r>
        <w:rPr>
          <w:lang w:val="es-ES_tradnl"/>
        </w:rPr>
        <w:t xml:space="preserve">. </w:t>
      </w:r>
    </w:p>
    <w:p w14:paraId="46A7E2F3" w14:textId="77777777" w:rsidR="00101059" w:rsidRDefault="00101059" w:rsidP="00C63968">
      <w:pPr>
        <w:pStyle w:val="Ttulo3"/>
        <w:spacing w:line="360" w:lineRule="auto"/>
      </w:pPr>
      <w:bookmarkStart w:id="25" w:name="_Toc218596631"/>
      <w:r>
        <w:t>Tendencias actuales en el turismo de aventura en economías emergentes</w:t>
      </w:r>
      <w:bookmarkEnd w:id="25"/>
    </w:p>
    <w:p w14:paraId="31BA5859" w14:textId="77777777" w:rsidR="00101059" w:rsidRDefault="00101059" w:rsidP="00C63968">
      <w:pPr>
        <w:spacing w:line="360" w:lineRule="auto"/>
      </w:pPr>
      <w:r>
        <w:t>En las últimas décadas, el turismo de aventura (incluyendo formas de ecoturismo y turismo rural) se ha posicionado como una estrategia de desarrollo sostenible en países emergentes. Muchos gobiernos han incorporado el turismo comunitario y de naturaleza en sus políticas para impulsar el crecimiento económico a la vez que se alivian desigualdades locales. Dentro de la literatura evaluada se encuentras claros ejemplos. Uno de estos se encuentra en Sudáfrica (</w:t>
      </w:r>
      <w:proofErr w:type="spellStart"/>
      <w:r>
        <w:t>Stoffelen</w:t>
      </w:r>
      <w:proofErr w:type="spellEnd"/>
      <w:r>
        <w:t xml:space="preserve"> et al., 2020), donde se adoptó tras el apartheid políticas que combinan el impulso al mercado turístico global con el desarrollo comunitario local. En la investigación evaluada se encontró que para alcanzar el pleno potencial del turismo de aventura a nivel local no es sencillo, ya que a menudo surgen desafíos individuales, colectivos e institucionales que obstaculizan el emprendimiento turístico duradero y la colaboración comunitaria (</w:t>
      </w:r>
      <w:proofErr w:type="spellStart"/>
      <w:r>
        <w:t>Stoffelen</w:t>
      </w:r>
      <w:proofErr w:type="spellEnd"/>
      <w:r>
        <w:t xml:space="preserve"> et al., 2020). Esto sugiere que, si bien existe una tendencia política a promover el turismo de aventura como herramienta de desarrollo, en la práctica persisten brechas entre el discurso y la implementación efectiva en las comunidades receptoras. Esto, como es de esperar es extrapolable a hallazgos de otras investigaciones.  </w:t>
      </w:r>
    </w:p>
    <w:p w14:paraId="54DC2087" w14:textId="77777777" w:rsidR="00101059" w:rsidRDefault="00101059" w:rsidP="00C63968">
      <w:pPr>
        <w:spacing w:line="360" w:lineRule="auto"/>
      </w:pPr>
      <w:r>
        <w:t xml:space="preserve">A nivel macro, los factores contextuales y ambientales moldean las tendencias del turismo de aventura en economías emergentes. Un estudio en Bangladés (Kuri et al., 2025) reveló que el crecimiento turístico sostenible está fuertemente influenciado por variables como la estabilidad sociopolítica, la seguridad vial, las condiciones climáticas y las infraestructuras. Eventos disruptivos (inestabilidad política, terrorismo o pandemia) han provocado fluctuaciones significativas en las llegadas de turistas de aventura a ese país. Otro eje clave en esta investigación y que emerge como tendencia es la integración de los Objetivos de Desarrollo Sostenible (ODS) en la planificación turística buscando alinear el turismo con metas de trabajo decente, acción climática e infraestructura resiliente. </w:t>
      </w:r>
    </w:p>
    <w:p w14:paraId="13A4FEFC" w14:textId="6E89328F" w:rsidR="00101059" w:rsidRDefault="00101059" w:rsidP="00C63968">
      <w:pPr>
        <w:spacing w:line="360" w:lineRule="auto"/>
      </w:pPr>
      <w:r>
        <w:lastRenderedPageBreak/>
        <w:t xml:space="preserve">Otra tendencia emergente destacada es el auge de iniciativas de emprendimiento social y femenino dentro del turismo de aventura. </w:t>
      </w:r>
      <w:proofErr w:type="spellStart"/>
      <w:r>
        <w:t>Kummitha</w:t>
      </w:r>
      <w:proofErr w:type="spellEnd"/>
      <w:r>
        <w:t xml:space="preserve"> (2020) observa que el emprendimiento social (tradicionalmente orientado a problemas sociales o ambientales) ha empezado a enfocarse en el turismo como vía para potenciar el desarrollo local. Un caso ilustrativo proviene de Túnez con la investigación de </w:t>
      </w:r>
      <w:proofErr w:type="spellStart"/>
      <w:r>
        <w:t>Benali</w:t>
      </w:r>
      <w:proofErr w:type="spellEnd"/>
      <w:r>
        <w:t xml:space="preserve"> y </w:t>
      </w:r>
      <w:proofErr w:type="spellStart"/>
      <w:r>
        <w:t>Villesèche</w:t>
      </w:r>
      <w:proofErr w:type="spellEnd"/>
      <w:r>
        <w:t xml:space="preserve"> (2024), quienes estudiaron una empresa social de ecoturismo fundada tras la Revolución tunecina, la cual busca empoderar a mujeres rurales a través de actividades turísticas (producción artesanal y gastronomía para turistas). En el contexto de crisis posrevolucionaria descrito en la investigación, surgió una economía social y solidaria orientada a crear empleos y empoderar poblaciones marginadas, con las mujeres rurales como beneficiarias clave. Esta tendencia refleja un giro en la visión del turismo donde permite, más allá de la obtención de capital, generar herramientas de emancipación y cambio social en un mundo en desarrollo. </w:t>
      </w:r>
    </w:p>
    <w:p w14:paraId="3BD6CD48" w14:textId="681F1433" w:rsidR="00101059" w:rsidRDefault="00101059" w:rsidP="00101059">
      <w:pPr>
        <w:pStyle w:val="Descripcin"/>
        <w:tabs>
          <w:tab w:val="left" w:pos="6045"/>
        </w:tabs>
        <w:spacing w:line="360" w:lineRule="auto"/>
        <w:rPr>
          <w:noProof/>
        </w:rPr>
      </w:pPr>
      <w:bookmarkStart w:id="26" w:name="_Toc218596663"/>
      <w:r w:rsidRPr="00B466F8">
        <w:t xml:space="preserve">Figura </w:t>
      </w:r>
      <w:r w:rsidR="00084DA0">
        <w:fldChar w:fldCharType="begin"/>
      </w:r>
      <w:r w:rsidR="00084DA0">
        <w:instrText xml:space="preserve"> SEQ Figura \* ARABIC </w:instrText>
      </w:r>
      <w:r w:rsidR="00084DA0">
        <w:fldChar w:fldCharType="separate"/>
      </w:r>
      <w:r w:rsidR="005A45A4">
        <w:rPr>
          <w:noProof/>
        </w:rPr>
        <w:t>8</w:t>
      </w:r>
      <w:r w:rsidR="00084DA0">
        <w:rPr>
          <w:noProof/>
        </w:rPr>
        <w:fldChar w:fldCharType="end"/>
      </w:r>
      <w:r w:rsidRPr="00B466F8">
        <w:t>.</w:t>
      </w:r>
      <w:r w:rsidRPr="00D50581">
        <w:rPr>
          <w:b w:val="0"/>
          <w:bCs w:val="0"/>
          <w:i/>
          <w:iCs/>
        </w:rPr>
        <w:t xml:space="preserve"> </w:t>
      </w:r>
      <w:r>
        <w:rPr>
          <w:b w:val="0"/>
          <w:bCs w:val="0"/>
          <w:i/>
          <w:iCs/>
        </w:rPr>
        <w:br/>
        <w:t>Tendencias de turismo de aventura en contextos emergentes</w:t>
      </w:r>
      <w:bookmarkEnd w:id="26"/>
    </w:p>
    <w:p w14:paraId="3A8E24CA" w14:textId="77777777" w:rsidR="00101059" w:rsidRDefault="00101059" w:rsidP="00101059">
      <w:pPr>
        <w:pStyle w:val="NormalWeb"/>
        <w:jc w:val="center"/>
      </w:pPr>
      <w:r>
        <w:rPr>
          <w:noProof/>
        </w:rPr>
        <w:drawing>
          <wp:inline distT="0" distB="0" distL="0" distR="0" wp14:anchorId="620ED2E9" wp14:editId="47DAC604">
            <wp:extent cx="4203700" cy="3686322"/>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t="15700" b="9730"/>
                    <a:stretch/>
                  </pic:blipFill>
                  <pic:spPr bwMode="auto">
                    <a:xfrm>
                      <a:off x="0" y="0"/>
                      <a:ext cx="4215191" cy="3696398"/>
                    </a:xfrm>
                    <a:prstGeom prst="rect">
                      <a:avLst/>
                    </a:prstGeom>
                    <a:noFill/>
                    <a:ln>
                      <a:noFill/>
                    </a:ln>
                    <a:extLst>
                      <a:ext uri="{53640926-AAD7-44D8-BBD7-CCE9431645EC}">
                        <a14:shadowObscured xmlns:a14="http://schemas.microsoft.com/office/drawing/2010/main"/>
                      </a:ext>
                    </a:extLst>
                  </pic:spPr>
                </pic:pic>
              </a:graphicData>
            </a:graphic>
          </wp:inline>
        </w:drawing>
      </w:r>
    </w:p>
    <w:p w14:paraId="7A2626DB" w14:textId="77777777" w:rsidR="00101059" w:rsidRDefault="00101059" w:rsidP="00C63968">
      <w:pPr>
        <w:spacing w:line="360" w:lineRule="auto"/>
      </w:pPr>
      <w:r>
        <w:t xml:space="preserve">Recapitulando las tendencias descritas en los artículos, es posible asumir que las tendencias actuales apuntan hacia una expansión condicionada por la estabilidad del entorno (paz, seguridad), </w:t>
      </w:r>
      <w:r>
        <w:lastRenderedPageBreak/>
        <w:t>la acción climática, el apoyo político e institucional para un desarrollo sostenible y la equidad de género como marcos generales. Si bien estos casos son generales y condicionados, si marcan un esquema general, principalmente por la alineación general del mercado hacia percibir los ODS y pautas de integración inmersas dentro de las propuestas de valor resultantes en la dinámica turística, que parecen estar alineadas en términos globales con los deseos de los turistas a nivel global (o al menos son elementos contingentes a la dinámica contextual del turismo de cada región y que están presentes como tendencia de manera generalizada).</w:t>
      </w:r>
    </w:p>
    <w:p w14:paraId="24AD98B8" w14:textId="77777777" w:rsidR="00101059" w:rsidRDefault="00101059" w:rsidP="00101059">
      <w:pPr>
        <w:pStyle w:val="Ttulo3"/>
      </w:pPr>
      <w:bookmarkStart w:id="27" w:name="_Toc218596632"/>
      <w:r>
        <w:t>Prácticas de gestión empresarial en MiPymes de turismo de aventura</w:t>
      </w:r>
      <w:bookmarkEnd w:id="27"/>
    </w:p>
    <w:p w14:paraId="32C899BF" w14:textId="77777777" w:rsidR="00101059" w:rsidRDefault="00101059" w:rsidP="00C63968">
      <w:pPr>
        <w:spacing w:line="360" w:lineRule="auto"/>
      </w:pPr>
      <w:r>
        <w:t xml:space="preserve">La literatura reciente enfatiza que las pequeñas empresas de turismo de aventura en contextos emergentes necesitan adoptar prácticas de gestión innovadoras y flexibles para sobrevivir y crecer. En mercados altamente competitivos y cambiantes, la capacidad de innovar se ha vuelto crucial.  </w:t>
      </w:r>
    </w:p>
    <w:p w14:paraId="54BEF220" w14:textId="2D803DAB" w:rsidR="00101059" w:rsidRDefault="00101059" w:rsidP="00C63968">
      <w:pPr>
        <w:spacing w:line="360" w:lineRule="auto"/>
      </w:pPr>
      <w:r>
        <w:t>Un estudio en el contexto rural de Ecuador (</w:t>
      </w:r>
      <w:proofErr w:type="spellStart"/>
      <w:r>
        <w:t>Anzules</w:t>
      </w:r>
      <w:proofErr w:type="spellEnd"/>
      <w:r>
        <w:t xml:space="preserve">-Falcones et al., 2025) analizó 32 emprendimientos turísticos y encontró que la innovación incremental en servicios y procesos internos impulsa ventajas competitivas. Específicamente, prácticas como el intercambio de conocimiento interno, la optimización de procesos operativos y la creación de nuevos productos/servicios alimentan estrategias creativas en estas empresas, todas enmarcadas en el concepto de </w:t>
      </w:r>
      <w:proofErr w:type="spellStart"/>
      <w:r>
        <w:t>MiPyme</w:t>
      </w:r>
      <w:proofErr w:type="spellEnd"/>
      <w:r>
        <w:t xml:space="preserve">. </w:t>
      </w:r>
    </w:p>
    <w:p w14:paraId="3C5BA93D" w14:textId="77777777" w:rsidR="00101059" w:rsidRDefault="00101059" w:rsidP="00C63968">
      <w:pPr>
        <w:spacing w:line="360" w:lineRule="auto"/>
      </w:pPr>
      <w:r>
        <w:t xml:space="preserve">Aunque ya en otra latitud, pero alineado con esto, </w:t>
      </w:r>
      <w:proofErr w:type="spellStart"/>
      <w:r>
        <w:t>Neupane</w:t>
      </w:r>
      <w:proofErr w:type="spellEnd"/>
      <w:r>
        <w:t xml:space="preserve"> et al. (2025) destacan el papel de la orientación emprendedora (EO) de los líderes en Nepal. Plantean que una mentalidad emprendedora proactiva ayuda a superar la escasez de recursos y fomenta la adopción de prácticas sostenibles, como tecnologías verdes y métodos de ahorro energético. Este espíritu innovador, combinado con capacidades tecnológicas, permite a las empresas a convertir sus estrategias en ventajas competitivas y atender mejor los retos ambientales y sociales del entorno.</w:t>
      </w:r>
    </w:p>
    <w:p w14:paraId="23786D6B" w14:textId="77777777" w:rsidR="00101059" w:rsidRDefault="00101059" w:rsidP="00C63968">
      <w:pPr>
        <w:spacing w:line="360" w:lineRule="auto"/>
      </w:pPr>
      <w:r>
        <w:t xml:space="preserve">Otra práctica de gestión clave identificada es el aprovechamiento de redes y plataformas para potenciar los negocios. </w:t>
      </w:r>
      <w:proofErr w:type="spellStart"/>
      <w:r>
        <w:t>Ditta-Apichai</w:t>
      </w:r>
      <w:proofErr w:type="spellEnd"/>
      <w:r>
        <w:t xml:space="preserve"> et al. (2024) exploran cómo las </w:t>
      </w:r>
      <w:proofErr w:type="spellStart"/>
      <w:r>
        <w:t>microemprendedoras</w:t>
      </w:r>
      <w:proofErr w:type="spellEnd"/>
      <w:r>
        <w:t xml:space="preserve"> turísticas utilizan Facebook como herramienta de empoderamiento. Sus hallazgos muestran que las redes sociales pueden funcionar como:</w:t>
      </w:r>
    </w:p>
    <w:p w14:paraId="5E0A56B2" w14:textId="77777777" w:rsidR="00101059" w:rsidRPr="0084481C" w:rsidRDefault="00101059" w:rsidP="00C63968">
      <w:pPr>
        <w:pStyle w:val="Prrafodelista"/>
        <w:numPr>
          <w:ilvl w:val="0"/>
          <w:numId w:val="28"/>
        </w:numPr>
        <w:spacing w:before="240" w:after="240" w:line="360" w:lineRule="auto"/>
      </w:pPr>
      <w:r w:rsidRPr="0084481C">
        <w:t>Fuente de aprendizaje, donde las emprendedoras acceden a información y conocimiento empresarial.</w:t>
      </w:r>
    </w:p>
    <w:p w14:paraId="4DACC6AD" w14:textId="77777777" w:rsidR="00101059" w:rsidRPr="0084481C" w:rsidRDefault="00101059" w:rsidP="00C63968">
      <w:pPr>
        <w:pStyle w:val="Prrafodelista"/>
        <w:numPr>
          <w:ilvl w:val="0"/>
          <w:numId w:val="28"/>
        </w:numPr>
        <w:spacing w:before="240" w:after="240" w:line="360" w:lineRule="auto"/>
      </w:pPr>
      <w:r w:rsidRPr="0084481C">
        <w:lastRenderedPageBreak/>
        <w:t>Ecosistema empresarial informal, permitiendo conectar con pares y mentores.</w:t>
      </w:r>
    </w:p>
    <w:p w14:paraId="784EB6C8" w14:textId="77777777" w:rsidR="00101059" w:rsidRPr="0084481C" w:rsidRDefault="00101059" w:rsidP="00C63968">
      <w:pPr>
        <w:pStyle w:val="Prrafodelista"/>
        <w:numPr>
          <w:ilvl w:val="0"/>
          <w:numId w:val="28"/>
        </w:numPr>
        <w:spacing w:before="240" w:after="240" w:line="360" w:lineRule="auto"/>
      </w:pPr>
      <w:r w:rsidRPr="0084481C">
        <w:t>Medio de autoformación, para desarrollar habilidades.</w:t>
      </w:r>
    </w:p>
    <w:p w14:paraId="7EC711FC" w14:textId="77777777" w:rsidR="00101059" w:rsidRPr="0084481C" w:rsidRDefault="00101059" w:rsidP="00C63968">
      <w:pPr>
        <w:pStyle w:val="Prrafodelista"/>
        <w:numPr>
          <w:ilvl w:val="0"/>
          <w:numId w:val="28"/>
        </w:numPr>
        <w:spacing w:before="240" w:after="240" w:line="360" w:lineRule="auto"/>
      </w:pPr>
      <w:r w:rsidRPr="0084481C">
        <w:t xml:space="preserve">Plataforma de intercambio para desarrollo del negocio (marketing, ventas, retroalimentación de clientes). </w:t>
      </w:r>
    </w:p>
    <w:p w14:paraId="77AEDCCC" w14:textId="2F232569" w:rsidR="00C63968" w:rsidRDefault="00101059" w:rsidP="00C63968">
      <w:pPr>
        <w:spacing w:line="360" w:lineRule="auto"/>
      </w:pPr>
      <w:r>
        <w:t xml:space="preserve">En contextos con poca capacitación formal o apoyo gubernamental, estas prácticas digitales suplen brechas de política social y apoyo empresarial, facilitando un desarrollo más inclusivo del turismo sostenible. Asimismo, la creación de redes de negocios locales es una estrategia de gestión relevante. </w:t>
      </w:r>
    </w:p>
    <w:p w14:paraId="364EC888" w14:textId="77777777" w:rsidR="00101059" w:rsidRDefault="00101059" w:rsidP="00C63968">
      <w:pPr>
        <w:spacing w:line="360" w:lineRule="auto"/>
      </w:pPr>
      <w:r>
        <w:t xml:space="preserve">En cuanto a las operaciones diarias, las MiPymes de turismo de aventura estudiadas en la revisión tienden a apoyarse en prácticas de gestión participativas y de múltiples actores. </w:t>
      </w:r>
      <w:proofErr w:type="spellStart"/>
      <w:r>
        <w:t>Kummitha</w:t>
      </w:r>
      <w:proofErr w:type="spellEnd"/>
      <w:r>
        <w:t xml:space="preserve"> (2020) documenta el caso del </w:t>
      </w:r>
      <w:proofErr w:type="spellStart"/>
      <w:r>
        <w:t>Mangalajodi</w:t>
      </w:r>
      <w:proofErr w:type="spellEnd"/>
      <w:r>
        <w:t xml:space="preserve"> </w:t>
      </w:r>
      <w:proofErr w:type="spellStart"/>
      <w:r>
        <w:t>Ecotourism</w:t>
      </w:r>
      <w:proofErr w:type="spellEnd"/>
      <w:r>
        <w:t xml:space="preserve"> Trust en India, una iniciativa comunitaria donde las decisiones y la gestión involucran a diversos grupos de interés que incluyen a la comunidad local, </w:t>
      </w:r>
      <w:proofErr w:type="spellStart"/>
      <w:r>
        <w:t>ONGs</w:t>
      </w:r>
      <w:proofErr w:type="spellEnd"/>
      <w:r>
        <w:t>, gobiernos locales y clientes turistas. La gestión participativa en este caso asegura que cada grupo (comunidades, organizaciones locales, pequeños operadores turísticos y los propios visitantes) tenga roles definidos para promover y sostener el destino ecoturístico. Esta práctica fomenta el sentido de propiedad local y alinea los incentivos de todos los involucrados hacia la conservación del entorno y la calidad de la experiencia turística. Asimismo, la capacitación continua de los emprendedores locales emerge como una práctica necesaria. Estudios indican que muchos microempresarios(as) turísticos en países emergentes carecen de conocimientos de gestión, mercadeo o finanzas, lo cual limita el crecimiento de sus negocios (</w:t>
      </w:r>
      <w:proofErr w:type="spellStart"/>
      <w:r>
        <w:t>Ditta-Apichai</w:t>
      </w:r>
      <w:proofErr w:type="spellEnd"/>
      <w:r>
        <w:t xml:space="preserve"> et al., 2024). Frente a ello, prácticas como la formación en servicio, la asesoría entre pares (mentoría) y el apoyo de instituciones (universidades, ONG) están siendo implementadas para fortalecer las capacidades gerenciales en las MiPymes involucradas.</w:t>
      </w:r>
    </w:p>
    <w:p w14:paraId="076FE45F" w14:textId="77777777" w:rsidR="00101059" w:rsidRDefault="00101059" w:rsidP="00101059">
      <w:pPr>
        <w:pStyle w:val="Ttulo3"/>
      </w:pPr>
      <w:bookmarkStart w:id="28" w:name="_Toc218596633"/>
      <w:r>
        <w:t>Estructuras organizacionales en los emprendimientos turísticos de aventura</w:t>
      </w:r>
      <w:bookmarkEnd w:id="28"/>
    </w:p>
    <w:p w14:paraId="6A98D79E" w14:textId="0E19DBA5" w:rsidR="00101059" w:rsidRDefault="00101059" w:rsidP="00C63968">
      <w:pPr>
        <w:spacing w:line="360" w:lineRule="auto"/>
      </w:pPr>
      <w:r>
        <w:t xml:space="preserve">Los modelos organizacionales adoptados por las MiPymes y emprendimientos de turismo de aventura en economías emergentes suelen caracterizarse por la pequeña escala, la flexibilidad y la vinculación comunitaria. Una estructura recurrente es la del emprendimiento comunitario o social, donde la empresa turística se organiza de forma participativa y con fines tanto económicos como sociales. El caso de Túnez estudiado por </w:t>
      </w:r>
      <w:proofErr w:type="spellStart"/>
      <w:r>
        <w:t>Benali</w:t>
      </w:r>
      <w:proofErr w:type="spellEnd"/>
      <w:r>
        <w:t xml:space="preserve"> y </w:t>
      </w:r>
      <w:proofErr w:type="spellStart"/>
      <w:r>
        <w:t>Villesèche</w:t>
      </w:r>
      <w:proofErr w:type="spellEnd"/>
      <w:r>
        <w:t xml:space="preserve"> (2024) es altamente ilustrativo. Se presenta una empresa social ecoturística llamada DEA, fundada y liderada por una </w:t>
      </w:r>
      <w:r>
        <w:lastRenderedPageBreak/>
        <w:t xml:space="preserve">emprendedora local, que funciona bajo los principios de la economía social y solidaria (ESS). En DEA, la estructura organizativa involucra a mujeres de la comunidad como “beneficiarias” que </w:t>
      </w:r>
      <w:proofErr w:type="spellStart"/>
      <w:r>
        <w:t>co-participan</w:t>
      </w:r>
      <w:proofErr w:type="spellEnd"/>
      <w:r>
        <w:t xml:space="preserve"> en las actividades productivas (elaboración de artesanías, servicios de alimentación para turistas, etc.). Aunque hay una líder emprendedora, la empresa opera más como red de colaboración entre la fundadora y las mujeres locales, difuminando la típica jerarquía empresarial. </w:t>
      </w:r>
    </w:p>
    <w:p w14:paraId="0494B0B4" w14:textId="110C0975" w:rsidR="00101059" w:rsidRDefault="00101059" w:rsidP="00C63968">
      <w:pPr>
        <w:spacing w:line="360" w:lineRule="auto"/>
      </w:pPr>
      <w:r>
        <w:t xml:space="preserve">Otro tipo de estructura organizacional frecuente es la alianza </w:t>
      </w:r>
      <w:proofErr w:type="spellStart"/>
      <w:r>
        <w:t>multiactor</w:t>
      </w:r>
      <w:proofErr w:type="spellEnd"/>
      <w:r>
        <w:t xml:space="preserve"> o en forma de consorcio público-privado-comunitario. En </w:t>
      </w:r>
      <w:proofErr w:type="spellStart"/>
      <w:r>
        <w:t>Mangalajodi</w:t>
      </w:r>
      <w:proofErr w:type="spellEnd"/>
      <w:r>
        <w:t xml:space="preserve"> (India), la </w:t>
      </w:r>
      <w:proofErr w:type="spellStart"/>
      <w:r>
        <w:t>ecodestino</w:t>
      </w:r>
      <w:proofErr w:type="spellEnd"/>
      <w:r>
        <w:t xml:space="preserve"> se gestiona a través de un trust comunitario apoyado por un banco internacional (RBS Foundation) en alianza con una ONG local (</w:t>
      </w:r>
      <w:proofErr w:type="spellStart"/>
      <w:r>
        <w:t>Indian</w:t>
      </w:r>
      <w:proofErr w:type="spellEnd"/>
      <w:r>
        <w:t xml:space="preserve"> </w:t>
      </w:r>
      <w:proofErr w:type="spellStart"/>
      <w:r>
        <w:t>Grameen</w:t>
      </w:r>
      <w:proofErr w:type="spellEnd"/>
      <w:r>
        <w:t xml:space="preserve"> </w:t>
      </w:r>
      <w:proofErr w:type="spellStart"/>
      <w:r>
        <w:t>Services</w:t>
      </w:r>
      <w:proofErr w:type="spellEnd"/>
      <w:r>
        <w:t xml:space="preserve">) y el gobierno local. La estructura de este proyecto es híbrida, parte de </w:t>
      </w:r>
      <w:proofErr w:type="gramStart"/>
      <w:r>
        <w:t>la  propiedad</w:t>
      </w:r>
      <w:proofErr w:type="gramEnd"/>
      <w:r>
        <w:t xml:space="preserve"> comunitaria con apoyo institucional externo. Los miembros de la comunidad conforman el núcleo organizativo (guías locales, vigilantes, gestores de alojamiento), mientras que las entidades aliadas aportan financiamiento, capacitación y acceso a mercados. </w:t>
      </w:r>
    </w:p>
    <w:p w14:paraId="574B96DF" w14:textId="725F0854" w:rsidR="00101059" w:rsidRDefault="00101059" w:rsidP="00C63968">
      <w:pPr>
        <w:spacing w:line="360" w:lineRule="auto"/>
      </w:pPr>
      <w:r>
        <w:t xml:space="preserve">Por otro lado, existen estructuras empresariales individuales o familiares que se van transformando a medida que el turismo crece en una región. </w:t>
      </w:r>
      <w:proofErr w:type="spellStart"/>
      <w:r>
        <w:t>Pandya</w:t>
      </w:r>
      <w:proofErr w:type="spellEnd"/>
      <w:r>
        <w:t xml:space="preserve"> et al. (2023) describen la evolución en torno a la reserva </w:t>
      </w:r>
      <w:proofErr w:type="spellStart"/>
      <w:r>
        <w:t>Corbett</w:t>
      </w:r>
      <w:proofErr w:type="spellEnd"/>
      <w:r>
        <w:t xml:space="preserve"> en la India. Inicialmente, inversionistas externos compraron tierras en aldeas aledañas para instalar hoteles y resorts, introduciendo una estructura empresarial foránea en comunidades rurales. Con el tiempo, esa ola disminuyó y actualmente muchos propietarios locales de tierras han comenzado a establecer sus propios negocios turísticos en sus terrenos, cambiando el uso del suelo de agrícola a turístico. </w:t>
      </w:r>
    </w:p>
    <w:p w14:paraId="09E7CCAC" w14:textId="1156E834" w:rsidR="00101059" w:rsidRDefault="00101059" w:rsidP="00C63968">
      <w:pPr>
        <w:spacing w:line="360" w:lineRule="auto"/>
      </w:pPr>
      <w:r>
        <w:t xml:space="preserve">Finalmente, cabe destacar las redes empresariales locales como estructura super organizacional. En algunos destinos rurales, pequeñas empresas individuales se articulan en redes o asociaciones que funcionan casi como una entidad colectiva para propósitos de promoción y gestión de destino. Estas redes pueden tener formas organizativas ligeras (mesas de trabajo, comités locales de turismo, agrupaciones de emprendedores) pero cumplen el rol de coordinar esfuerzos, estandarizar ciertas prácticas de calidad y representar los intereses de las MiPymes ante el gobierno. </w:t>
      </w:r>
    </w:p>
    <w:p w14:paraId="5087D70A" w14:textId="01851CA8" w:rsidR="00101059" w:rsidRDefault="00101059" w:rsidP="00C63968">
      <w:pPr>
        <w:spacing w:line="360" w:lineRule="auto"/>
      </w:pPr>
      <w:r>
        <w:t>En este sentido, se podría agrupar este tipo de organizaciones emergentes en el siguiente gráfico:</w:t>
      </w:r>
    </w:p>
    <w:p w14:paraId="06518B8E" w14:textId="2677BEAB" w:rsidR="00101059" w:rsidRDefault="00101059" w:rsidP="00101059">
      <w:pPr>
        <w:pStyle w:val="Descripcin"/>
        <w:tabs>
          <w:tab w:val="left" w:pos="6045"/>
        </w:tabs>
        <w:spacing w:line="360" w:lineRule="auto"/>
        <w:rPr>
          <w:b w:val="0"/>
          <w:bCs w:val="0"/>
          <w:i/>
          <w:iCs/>
        </w:rPr>
      </w:pPr>
      <w:bookmarkStart w:id="29" w:name="_Toc218596664"/>
      <w:r w:rsidRPr="00B466F8">
        <w:lastRenderedPageBreak/>
        <w:t xml:space="preserve">Figura </w:t>
      </w:r>
      <w:r w:rsidR="00084DA0">
        <w:fldChar w:fldCharType="begin"/>
      </w:r>
      <w:r w:rsidR="00084DA0">
        <w:instrText xml:space="preserve"> SEQ Figura \* ARABIC </w:instrText>
      </w:r>
      <w:r w:rsidR="00084DA0">
        <w:fldChar w:fldCharType="separate"/>
      </w:r>
      <w:r w:rsidR="005A45A4">
        <w:rPr>
          <w:noProof/>
        </w:rPr>
        <w:t>9</w:t>
      </w:r>
      <w:r w:rsidR="00084DA0">
        <w:rPr>
          <w:noProof/>
        </w:rPr>
        <w:fldChar w:fldCharType="end"/>
      </w:r>
      <w:r w:rsidRPr="00B466F8">
        <w:t>.</w:t>
      </w:r>
      <w:r w:rsidRPr="00D50581">
        <w:rPr>
          <w:b w:val="0"/>
          <w:bCs w:val="0"/>
          <w:i/>
          <w:iCs/>
        </w:rPr>
        <w:t xml:space="preserve"> </w:t>
      </w:r>
      <w:r>
        <w:rPr>
          <w:b w:val="0"/>
          <w:bCs w:val="0"/>
          <w:i/>
          <w:iCs/>
        </w:rPr>
        <w:br/>
        <w:t>Modelos Organizacionales en emprendimientos turísticos de Aventura</w:t>
      </w:r>
      <w:bookmarkEnd w:id="29"/>
    </w:p>
    <w:p w14:paraId="01636FCD" w14:textId="77777777" w:rsidR="00101059" w:rsidRDefault="00101059" w:rsidP="00101059">
      <w:pPr>
        <w:pStyle w:val="Descripcin"/>
        <w:tabs>
          <w:tab w:val="left" w:pos="6045"/>
        </w:tabs>
        <w:spacing w:line="360" w:lineRule="auto"/>
        <w:jc w:val="center"/>
        <w:rPr>
          <w:noProof/>
        </w:rPr>
      </w:pPr>
      <w:r>
        <w:rPr>
          <w:noProof/>
        </w:rPr>
        <w:drawing>
          <wp:inline distT="0" distB="0" distL="0" distR="0" wp14:anchorId="34999F08" wp14:editId="2BB3E349">
            <wp:extent cx="4686300" cy="3016055"/>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6">
                      <a:extLst>
                        <a:ext uri="{28A0092B-C50C-407E-A947-70E740481C1C}">
                          <a14:useLocalDpi xmlns:a14="http://schemas.microsoft.com/office/drawing/2010/main" val="0"/>
                        </a:ext>
                      </a:extLst>
                    </a:blip>
                    <a:srcRect t="17836" b="6286"/>
                    <a:stretch/>
                  </pic:blipFill>
                  <pic:spPr bwMode="auto">
                    <a:xfrm>
                      <a:off x="0" y="0"/>
                      <a:ext cx="4691122" cy="3019158"/>
                    </a:xfrm>
                    <a:prstGeom prst="rect">
                      <a:avLst/>
                    </a:prstGeom>
                    <a:noFill/>
                    <a:ln>
                      <a:noFill/>
                    </a:ln>
                    <a:extLst>
                      <a:ext uri="{53640926-AAD7-44D8-BBD7-CCE9431645EC}">
                        <a14:shadowObscured xmlns:a14="http://schemas.microsoft.com/office/drawing/2010/main"/>
                      </a:ext>
                    </a:extLst>
                  </pic:spPr>
                </pic:pic>
              </a:graphicData>
            </a:graphic>
          </wp:inline>
        </w:drawing>
      </w:r>
    </w:p>
    <w:p w14:paraId="5EC4BB33" w14:textId="77777777" w:rsidR="00101059" w:rsidRDefault="00101059" w:rsidP="00C63968">
      <w:pPr>
        <w:spacing w:line="360" w:lineRule="auto"/>
      </w:pPr>
      <w:r>
        <w:t xml:space="preserve">Es importante aclarar que los ejes representados en la gráfica (nivel de integración en redes (eje Y) y grado de participación comunitaria (eje X)) deben entenderse como dimensiones orientativas y no como categorías rígidas o exhaustivas. Las tipologías organizacionales allí representadas corresponden a una síntesis general de los hallazgos de la revisión, pero no pretenden ser absolutas. En la práctica, los niveles de integración en red o de participación comunitaria pueden variar significativamente dentro de cada tipo. Por ejemplo, es posible encontrar emprendimientos comunitarios con distintos grados de involucramiento por parte de la comunidad, así como alianzas público-privadas que presentan una alta articulación con actores locales en unos casos, y una participación comunitaria casi nula en otros. Del mismo modo, hay microempresas familiares que, aunque inicialmente aisladas, pueden comenzar a integrarse progresivamente en redes locales o territoriales. No obstante, todas comparten la necesidad de ser flexibles e inclusivas para adaptarse a entornos rurales y naturales, donde las dinámicas socioculturales locales son determinantes. </w:t>
      </w:r>
    </w:p>
    <w:p w14:paraId="3C4E886B" w14:textId="77777777" w:rsidR="00101059" w:rsidRDefault="00101059" w:rsidP="00101059">
      <w:pPr>
        <w:pStyle w:val="Ttulo3"/>
      </w:pPr>
      <w:bookmarkStart w:id="30" w:name="_Toc218596634"/>
      <w:r>
        <w:lastRenderedPageBreak/>
        <w:t>Retos de sostenibilidad en el turismo de aventura liderado por MiPymes</w:t>
      </w:r>
      <w:bookmarkEnd w:id="30"/>
    </w:p>
    <w:p w14:paraId="2BD43D99" w14:textId="77777777" w:rsidR="00101059" w:rsidRDefault="00101059" w:rsidP="00C63968">
      <w:pPr>
        <w:spacing w:line="360" w:lineRule="auto"/>
      </w:pPr>
      <w:r>
        <w:t xml:space="preserve">A pesar de las oportunidades que ofrece, el turismo de aventura pera las MiPymes en economías emergentes de acuerdo a las investigaciones estudiadas enfrenta numerosos retos de sostenibilidad de índole ambiental, social y económica. Uno de los retos más evidentes es equilibrar el crecimiento turístico con la conservación ambiental. Los destinos de aventura suelen ser ecosistemas frágiles o de difícil acceso (montañas, bosques, áreas silvestres) cuya sobreexplotación puede degradar los recursos naturales que atraen a los visitantes o hacer perder el encanto propio de estos destinos. Esto está alineado totalmente con las tendencias de promover turismo verde. Ejemplos claros son los de Kuri et al. (2025) donde evidencian que las emisiones de CO₂ asociadas al crecimiento industrial( en vías o entornos logísticos que favorecen el “progreso” de las regiones) inicialmente pueden impulsar el turismo (más infraestructura), pero a largo plazo lo perjudican por la degradación ambiental; o la investigación de Shang et al. (2023) donde recomiendan políticas prácticas como financiamiento verde para MiPymes (créditos blandos para iniciativas ecológicas), fomento del “turismo virtual” (como alternativa para reducir huella de viajes) y fondos de garantía para empresas ecoturísticas que las protejan ante riesgos ambientales o de mercado. </w:t>
      </w:r>
    </w:p>
    <w:p w14:paraId="084BF06D" w14:textId="77777777" w:rsidR="00101059" w:rsidRDefault="00101059" w:rsidP="00C63968">
      <w:pPr>
        <w:spacing w:line="360" w:lineRule="auto"/>
      </w:pPr>
      <w:r>
        <w:t xml:space="preserve">Otro desafío crítico es la sostenibilidad social y cultural de las iniciativas de turismo de aventura. Si bien estos emprendimientos pueden empoderar a comunidades locales, también pueden generar tensiones sociales, inequidades o pérdida cultural si no se gestionan apropiadamente. El estudio de </w:t>
      </w:r>
      <w:proofErr w:type="spellStart"/>
      <w:r>
        <w:t>Stoffelen</w:t>
      </w:r>
      <w:proofErr w:type="spellEnd"/>
      <w:r>
        <w:t xml:space="preserve"> et al. (2020) en Sudáfrica reveló que, a pesar de políticas multinivel bien intencionadas, en la práctica existen disparidades de poder y de capacidades entre los actores “corresponsables” del turismo local. Las comunidades a menudo carecen de las habilidades o autoridad para negociar en igualdad con inversores externos o entidades gubernamentales, lo que lleva a puntos muertos en el desarrollo local sostenible. Esto implica que una distribución desequilibrada del poder puede impedir que el turismo de aventura realmente beneficie a los más vulnerables. Para superar este reto, </w:t>
      </w:r>
      <w:proofErr w:type="spellStart"/>
      <w:r>
        <w:t>Stoffelen</w:t>
      </w:r>
      <w:proofErr w:type="spellEnd"/>
      <w:r>
        <w:t xml:space="preserve"> et al. concluyen que es necesario redirigir las inversiones globales y nacionales hacia la creación de sistemas que subsanen las brechas locales de capacitación y empoderamiento. </w:t>
      </w:r>
    </w:p>
    <w:p w14:paraId="645330E8" w14:textId="77777777" w:rsidR="00101059" w:rsidRDefault="00101059" w:rsidP="00C63968">
      <w:pPr>
        <w:spacing w:line="360" w:lineRule="auto"/>
      </w:pPr>
      <w:r>
        <w:t xml:space="preserve">Ahora bien, este tipo de tensiones no puede entenderse únicamente como una falencia operativa del sector turístico. Más bien, pueden verse como manifestaciones de una lógica económica más amplia, en la que las dinámicas de acumulación y rentabilidad tienden a primar </w:t>
      </w:r>
      <w:r>
        <w:lastRenderedPageBreak/>
        <w:t>sobre los principios de equidad territorial y sostenibilidad comunitaria. Así, incluso bajo el discurso de la inclusión, la competitividad o el fomento a las MiPymes, las formas dominantes de organización económica pueden relegar a los actores locales a posiciones marginales dentro del circuito productivo. En este sentido, abordar la sostenibilidad del turismo de aventura requiere no solo intervenciones técnicas o políticas sectoriales, sino también una mirada crítica hacia los marcos económicos y estructurales en los que estas actividades se insertan.</w:t>
      </w:r>
    </w:p>
    <w:p w14:paraId="66880DAB" w14:textId="77777777" w:rsidR="00101059" w:rsidRDefault="00101059" w:rsidP="00C63968">
      <w:pPr>
        <w:spacing w:line="360" w:lineRule="auto"/>
      </w:pPr>
      <w:r>
        <w:t xml:space="preserve">Por otra parte, </w:t>
      </w:r>
      <w:proofErr w:type="spellStart"/>
      <w:r>
        <w:t>Benali</w:t>
      </w:r>
      <w:proofErr w:type="spellEnd"/>
      <w:r>
        <w:t xml:space="preserve"> y </w:t>
      </w:r>
      <w:proofErr w:type="spellStart"/>
      <w:r>
        <w:t>Villesèche</w:t>
      </w:r>
      <w:proofErr w:type="spellEnd"/>
      <w:r>
        <w:t xml:space="preserve"> (2024) desafían la noción de los pobladores rurales como sujetos pasivos; su investigación muestra que las mujeres beneficiarias en Túnez, a pesar de su posición subalterna, desplegaron tácticas (algunas sutiles, otras abiertas) para avanzar sus objetivos dentro del emprendimiento turístico. No obstante, este tipo de emancipación desde abajo no siempre ocurre espontáneamente en todos los proyectos, y la falta de apoyo continuo (en capacitación, microfinanzas, eliminación de barreras de género) puede limitar los impactos positivos. Un vacío de conocimiento señalado por </w:t>
      </w:r>
      <w:proofErr w:type="spellStart"/>
      <w:r>
        <w:t>Ditta-Apichai</w:t>
      </w:r>
      <w:proofErr w:type="spellEnd"/>
      <w:r>
        <w:t xml:space="preserve"> et al. (2024) es la persistencia de ideas erróneas sobre el rol de la mujer empresaria y la ausencia de apoyos específicos para ellas en el contexto turístico. Superar estos sesgos y proveer un entorno habilitante es crucial para la sostenibilidad social de los emprendimientos de aventura liderados por mujeres.</w:t>
      </w:r>
    </w:p>
    <w:p w14:paraId="0C814DB7" w14:textId="77777777" w:rsidR="00101059" w:rsidRDefault="00101059" w:rsidP="00C63968">
      <w:pPr>
        <w:spacing w:line="360" w:lineRule="auto"/>
      </w:pPr>
      <w:r>
        <w:t xml:space="preserve">Desde la perspectiva económica, la sostenibilidad financiera y operativa de las MiPymes turísticas constituye otro gran reto. Las MiPymes de turismo de aventura suelen operar con márgenes estrechos y alta estacionalidad, lo que dificulta la estabilidad. Además, choques externos (como desastres naturales, pandemias o crisis políticas) pueden paralizar la afluencia de turistas inmediatamente, poniendo en riesgo la viabilidad de negocios que carecen de colchones financieros. La investigación sugiere que desarrollar capacidad de adaptación y flexibilidad estratégica es vital para la resiliencia. </w:t>
      </w:r>
      <w:proofErr w:type="spellStart"/>
      <w:r>
        <w:t>Neupane</w:t>
      </w:r>
      <w:proofErr w:type="spellEnd"/>
      <w:r>
        <w:t xml:space="preserve"> et al. encontraron que la flexibilidad estratégica (SF) de la empresa, es decir, su habilidad de reconfigurar recursos y estrategias ante cambios, actúa como puente para mejorar el desempeño a largo plazo en entornos frágiles. </w:t>
      </w:r>
    </w:p>
    <w:p w14:paraId="25A0D8FE" w14:textId="77777777" w:rsidR="00101059" w:rsidRDefault="00101059" w:rsidP="00C63968">
      <w:pPr>
        <w:spacing w:line="360" w:lineRule="auto"/>
      </w:pPr>
      <w:r>
        <w:t xml:space="preserve">Un último aspecto destacado es la sostenibilidad cultural y la autenticidad. El turismo de aventura a menudo se basa en culturas locales singulares (comunidades indígenas, tradiciones rurales o llevaos a cabo en lugares de difícil acceso) que corren riesgo de </w:t>
      </w:r>
      <w:proofErr w:type="spellStart"/>
      <w:r>
        <w:t>folklorización</w:t>
      </w:r>
      <w:proofErr w:type="spellEnd"/>
      <w:r>
        <w:t xml:space="preserve"> o pérdida ante la comercialización turística. La </w:t>
      </w:r>
      <w:proofErr w:type="spellStart"/>
      <w:r>
        <w:t>turistificación</w:t>
      </w:r>
      <w:proofErr w:type="spellEnd"/>
      <w:r>
        <w:t xml:space="preserve"> de tierras rurales descrita por </w:t>
      </w:r>
      <w:proofErr w:type="spellStart"/>
      <w:r>
        <w:t>Pandya</w:t>
      </w:r>
      <w:proofErr w:type="spellEnd"/>
      <w:r>
        <w:t xml:space="preserve"> et al. (2023) conlleva no solo cambios económicos sino potencial enajenación cultural, al convertir paisajes y modos de vida en productos consumibles. Esto puede debilitar la conexión de las </w:t>
      </w:r>
      <w:r>
        <w:lastRenderedPageBreak/>
        <w:t>comunidades con su herencia cultural y natural. Para contrarrestarlo, las iniciativas actuales buscan promover un turismo responsable y con conciencia cultural, donde las comunidades conserven el control narrativo sobre su patrimonio y obtengan beneficios por salvaguardarlo. La participación activa de la comunidad en el diseño de experiencias (tours guiados por locales, rescate de relatos históricos, festivales tradicionales integrados al itinerario turístico) es clave para asegurar que el turismo refuerce en lugar de erosionar la identidad local.</w:t>
      </w:r>
    </w:p>
    <w:p w14:paraId="0396D97D" w14:textId="77777777" w:rsidR="00101059" w:rsidRPr="002171FE" w:rsidRDefault="00101059" w:rsidP="00101059">
      <w:pPr>
        <w:pStyle w:val="Ttulo2"/>
      </w:pPr>
      <w:bookmarkStart w:id="31" w:name="_Toc218596635"/>
      <w:r w:rsidRPr="002171FE">
        <w:t>Análisis de Contenido Digital en Redes Sociales</w:t>
      </w:r>
      <w:bookmarkEnd w:id="31"/>
    </w:p>
    <w:p w14:paraId="4D224B01" w14:textId="77777777" w:rsidR="00101059" w:rsidRDefault="00101059" w:rsidP="00C63968">
      <w:pPr>
        <w:pStyle w:val="Sinespaciado"/>
        <w:spacing w:line="360" w:lineRule="auto"/>
      </w:pPr>
      <w:r>
        <w:t>S</w:t>
      </w:r>
      <w:r w:rsidRPr="002171FE">
        <w:t xml:space="preserve">e realizó un </w:t>
      </w:r>
      <w:r>
        <w:rPr>
          <w:rStyle w:val="Textoennegrita"/>
          <w:b w:val="0"/>
          <w:bCs/>
        </w:rPr>
        <w:t>A</w:t>
      </w:r>
      <w:r w:rsidRPr="002171FE">
        <w:rPr>
          <w:rStyle w:val="Textoennegrita"/>
          <w:b w:val="0"/>
          <w:bCs/>
        </w:rPr>
        <w:t xml:space="preserve">nálisis de </w:t>
      </w:r>
      <w:r>
        <w:rPr>
          <w:rStyle w:val="Textoennegrita"/>
          <w:b w:val="0"/>
          <w:bCs/>
        </w:rPr>
        <w:t>C</w:t>
      </w:r>
      <w:r w:rsidRPr="002171FE">
        <w:rPr>
          <w:rStyle w:val="Textoennegrita"/>
          <w:b w:val="0"/>
          <w:bCs/>
        </w:rPr>
        <w:t xml:space="preserve">ontenido </w:t>
      </w:r>
      <w:r>
        <w:rPr>
          <w:rStyle w:val="Textoennegrita"/>
          <w:b w:val="0"/>
          <w:bCs/>
        </w:rPr>
        <w:t>D</w:t>
      </w:r>
      <w:r w:rsidRPr="002171FE">
        <w:rPr>
          <w:rStyle w:val="Textoennegrita"/>
          <w:b w:val="0"/>
          <w:bCs/>
        </w:rPr>
        <w:t>igital</w:t>
      </w:r>
      <w:r>
        <w:rPr>
          <w:rStyle w:val="Textoennegrita"/>
          <w:b w:val="0"/>
          <w:bCs/>
        </w:rPr>
        <w:t xml:space="preserve"> </w:t>
      </w:r>
      <w:r w:rsidRPr="002171FE">
        <w:t>(</w:t>
      </w:r>
      <w:r w:rsidRPr="002171FE">
        <w:rPr>
          <w:rStyle w:val="nfasis"/>
        </w:rPr>
        <w:t>Digital Content Analysis</w:t>
      </w:r>
      <w:r w:rsidRPr="002171FE">
        <w:t>)</w:t>
      </w:r>
      <w:r w:rsidRPr="00185447">
        <w:t xml:space="preserve"> </w:t>
      </w:r>
      <w:r>
        <w:t xml:space="preserve">de las redes sociales de empresas y oferentes del sector. Este análisis, se enfocó </w:t>
      </w:r>
      <w:r w:rsidRPr="002171FE">
        <w:t>principalmente en Instagram</w:t>
      </w:r>
      <w:r>
        <w:t xml:space="preserve"> (por </w:t>
      </w:r>
      <w:r w:rsidRPr="002171FE">
        <w:t>su alta popularidad en la promoción turística visual y porque concentran la presencia de operadores regionales</w:t>
      </w:r>
      <w:r>
        <w:t>)</w:t>
      </w:r>
      <w:r w:rsidRPr="002171FE">
        <w:t xml:space="preserve"> complementado con observaciones en Facebook y TikTok. </w:t>
      </w:r>
    </w:p>
    <w:p w14:paraId="3A31EB0D" w14:textId="77777777" w:rsidR="00101059" w:rsidRPr="00360A86" w:rsidRDefault="00101059" w:rsidP="001706FD">
      <w:pPr>
        <w:pStyle w:val="Sinespaciado"/>
        <w:spacing w:line="360" w:lineRule="auto"/>
      </w:pPr>
      <w:r w:rsidRPr="00360A86">
        <w:t xml:space="preserve">Del análisis de las publicaciones y perfiles se desprenden varios </w:t>
      </w:r>
      <w:r w:rsidRPr="00360A86">
        <w:rPr>
          <w:rStyle w:val="Textoennegrita"/>
          <w:b w:val="0"/>
          <w:bCs/>
        </w:rPr>
        <w:t>patrones</w:t>
      </w:r>
      <w:r w:rsidRPr="00360A86">
        <w:t xml:space="preserve"> </w:t>
      </w:r>
      <w:r>
        <w:t xml:space="preserve">relevantes. </w:t>
      </w:r>
      <w:r w:rsidRPr="00360A86">
        <w:t>A continuación, se resumen los hallazgos clave</w:t>
      </w:r>
      <w:r>
        <w:t>:</w:t>
      </w:r>
    </w:p>
    <w:p w14:paraId="28132605" w14:textId="77777777" w:rsidR="00101059" w:rsidRDefault="00101059" w:rsidP="001706FD">
      <w:pPr>
        <w:pStyle w:val="Sinespaciado"/>
        <w:spacing w:line="360" w:lineRule="auto"/>
      </w:pPr>
      <w:r>
        <w:t>En términos generales, la matriz evidencia una amplia heterogeneidad de oferentes seleccionados, esto resultado del mismo diseño muestral con el fin de mapear patrones y contrastar empresas formalizadas y de alto posicionamiento con microempresas en crecimiento, prestadores informales e influencers. Se evidencia que coexisten dos enfoques diferenciados: uno formal-empresarial, que proyecta profesionalismo, confianza y sostenibilidad, y otro informal-emprendedor, que, apuesta por la inmediatez, la emoción y el precio.</w:t>
      </w:r>
    </w:p>
    <w:p w14:paraId="01A64E8F" w14:textId="77777777" w:rsidR="00101059" w:rsidRDefault="00101059" w:rsidP="001706FD">
      <w:pPr>
        <w:pStyle w:val="Sinespaciado"/>
        <w:spacing w:line="360" w:lineRule="auto"/>
      </w:pPr>
      <w:r>
        <w:t xml:space="preserve">Dentro de estos subgrupos, se observa un comportamiento diversificado, aunque regido por pautas comunes del marketing digital. Aquellas empresas y organizaciones con mayor robustez, trayectoria o madurez empresarial exhiben estrategias más consistentes, con mensajes y recursos visuales coherentes, mientras que los actores más pequeños tienden a contenidos erráticos o aleatorios, con identidades gráficas cambiantes y una gestión irregular del calendario de contenido. También se identifican baches en la publicación (periodos sin actividad seguidos de fases de alta emisión) que suelen asociarse a la ausencia de una estrategia clara o a restricciones de recursos y capacidades. </w:t>
      </w:r>
    </w:p>
    <w:p w14:paraId="5EFD0726" w14:textId="77777777" w:rsidR="00101059" w:rsidRDefault="00101059" w:rsidP="001706FD">
      <w:pPr>
        <w:pStyle w:val="Sinespaciado"/>
        <w:spacing w:line="360" w:lineRule="auto"/>
      </w:pPr>
      <w:r>
        <w:t>En contraste, algunos perfiles de marca personal (influencers) mantienen alta cadencia y volumen de publicaciones, apalancados en comunidades fieles y en formatos de alto alcance (</w:t>
      </w:r>
      <w:r w:rsidRPr="00983CFC">
        <w:rPr>
          <w:i/>
          <w:iCs/>
        </w:rPr>
        <w:t>reels</w:t>
      </w:r>
      <w:r>
        <w:t>), lo que favorece su visibilidad relativa frente a marcas corporativas.</w:t>
      </w:r>
    </w:p>
    <w:p w14:paraId="241CFB7F" w14:textId="77777777" w:rsidR="00101059" w:rsidRDefault="00101059" w:rsidP="001706FD">
      <w:pPr>
        <w:pStyle w:val="Sinespaciado"/>
        <w:spacing w:line="360" w:lineRule="auto"/>
      </w:pPr>
      <w:r>
        <w:lastRenderedPageBreak/>
        <w:t>A nivel general, el tono comunicativo en la promoción digital es una variable transversal que articula las dinámicas de promoción digital. Dado que, los perfiles de carácter formal tienden a discursos profesionales e institucionales, con énfasis en servicios, seguridad y certificaciones, mientras que los actores informales se enfocan en experiencias más cercanas al público y aventureras. Esta diferenciación no solo refleja distintos niveles de formalización, sino también estrategias divergentes de posicionamiento frente a un mercado que valora simultáneamente la confianza y la autenticidad.</w:t>
      </w:r>
    </w:p>
    <w:p w14:paraId="06E8F615" w14:textId="623377A4" w:rsidR="00101059" w:rsidRDefault="00101059" w:rsidP="00101059">
      <w:pPr>
        <w:pStyle w:val="Descripcin"/>
        <w:tabs>
          <w:tab w:val="left" w:pos="6045"/>
        </w:tabs>
        <w:spacing w:line="360" w:lineRule="auto"/>
        <w:rPr>
          <w:b w:val="0"/>
          <w:bCs w:val="0"/>
          <w:i/>
          <w:iCs/>
        </w:rPr>
      </w:pPr>
      <w:bookmarkStart w:id="32" w:name="_Toc218596668"/>
      <w:r w:rsidRPr="00B466F8">
        <w:t xml:space="preserve">Figura </w:t>
      </w:r>
      <w:r w:rsidR="00084DA0">
        <w:fldChar w:fldCharType="begin"/>
      </w:r>
      <w:r w:rsidR="00084DA0">
        <w:instrText xml:space="preserve"> </w:instrText>
      </w:r>
      <w:r w:rsidR="00084DA0">
        <w:instrText xml:space="preserve">SEQ Figura \* ARABIC </w:instrText>
      </w:r>
      <w:r w:rsidR="00084DA0">
        <w:fldChar w:fldCharType="separate"/>
      </w:r>
      <w:r w:rsidR="005A45A4">
        <w:rPr>
          <w:noProof/>
        </w:rPr>
        <w:t>13</w:t>
      </w:r>
      <w:r w:rsidR="00084DA0">
        <w:rPr>
          <w:noProof/>
        </w:rPr>
        <w:fldChar w:fldCharType="end"/>
      </w:r>
      <w:r w:rsidRPr="00B466F8">
        <w:t>.</w:t>
      </w:r>
      <w:r w:rsidRPr="00D50581">
        <w:rPr>
          <w:b w:val="0"/>
          <w:bCs w:val="0"/>
          <w:i/>
          <w:iCs/>
        </w:rPr>
        <w:t xml:space="preserve"> </w:t>
      </w:r>
      <w:r>
        <w:rPr>
          <w:b w:val="0"/>
          <w:bCs w:val="0"/>
          <w:i/>
          <w:iCs/>
        </w:rPr>
        <w:br/>
        <w:t>Enfoques en la Estrategia de Contenido</w:t>
      </w:r>
      <w:bookmarkEnd w:id="32"/>
    </w:p>
    <w:p w14:paraId="323526EC" w14:textId="77777777" w:rsidR="00101059" w:rsidRDefault="00101059" w:rsidP="00101059">
      <w:pPr>
        <w:pStyle w:val="NormalWeb"/>
        <w:jc w:val="center"/>
      </w:pPr>
      <w:r>
        <w:rPr>
          <w:noProof/>
        </w:rPr>
        <w:drawing>
          <wp:inline distT="0" distB="0" distL="0" distR="0" wp14:anchorId="7B7AEC84" wp14:editId="35D07AA4">
            <wp:extent cx="4203700" cy="3198147"/>
            <wp:effectExtent l="0" t="0" r="0" b="254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a:extLst>
                        <a:ext uri="{28A0092B-C50C-407E-A947-70E740481C1C}">
                          <a14:useLocalDpi xmlns:a14="http://schemas.microsoft.com/office/drawing/2010/main" val="0"/>
                        </a:ext>
                      </a:extLst>
                    </a:blip>
                    <a:srcRect l="6227" t="23336" r="7689" b="11172"/>
                    <a:stretch/>
                  </pic:blipFill>
                  <pic:spPr bwMode="auto">
                    <a:xfrm>
                      <a:off x="0" y="0"/>
                      <a:ext cx="4235786" cy="3222558"/>
                    </a:xfrm>
                    <a:prstGeom prst="rect">
                      <a:avLst/>
                    </a:prstGeom>
                    <a:noFill/>
                    <a:ln>
                      <a:noFill/>
                    </a:ln>
                    <a:extLst>
                      <a:ext uri="{53640926-AAD7-44D8-BBD7-CCE9431645EC}">
                        <a14:shadowObscured xmlns:a14="http://schemas.microsoft.com/office/drawing/2010/main"/>
                      </a:ext>
                    </a:extLst>
                  </pic:spPr>
                </pic:pic>
              </a:graphicData>
            </a:graphic>
          </wp:inline>
        </w:drawing>
      </w:r>
    </w:p>
    <w:p w14:paraId="3C22F46A" w14:textId="77777777" w:rsidR="00101059" w:rsidRDefault="00101059" w:rsidP="001706FD">
      <w:pPr>
        <w:pStyle w:val="Sinespaciado"/>
        <w:spacing w:line="360" w:lineRule="auto"/>
        <w:rPr>
          <w:szCs w:val="24"/>
          <w:lang w:eastAsia="es-CO"/>
        </w:rPr>
      </w:pPr>
      <w:r>
        <w:t>Ahora bien, esta revisión no permite inferir con certeza la materialización económica de dichas audiencias; si bien se enuncian “cupos llenos” y ofertas continuas de paquetes o acompañamientos, no es posible verificar conversión o ingresos. En el caso de empresas con canales omnicanal (puntos físicos, referidos, WhatsApp), los clientes que llegan por redes sociales es solo una parte del embudo comercial, por lo que la lectura sobre desempeño debe asumirse con cautela.</w:t>
      </w:r>
    </w:p>
    <w:p w14:paraId="240767B1" w14:textId="77777777" w:rsidR="00101059" w:rsidRDefault="00101059" w:rsidP="001706FD">
      <w:pPr>
        <w:pStyle w:val="Sinespaciado"/>
        <w:spacing w:line="360" w:lineRule="auto"/>
      </w:pPr>
      <w:r>
        <w:t xml:space="preserve">De forma complementaria, se observan patrones esperables para el turismo de aventura en zonas con alta demanda de actividades de aventura en el departamento. La promoción gira en torno a la exaltación de las experiencias extremas y los atractivos locales, combinando elementos de </w:t>
      </w:r>
      <w:r>
        <w:lastRenderedPageBreak/>
        <w:t xml:space="preserve">aventura y cultura, en línea con la vocación turística integral de Santander.  Se evidencia un predominio de exposición de contenido en espacios naturales y de roce cultural típico de la región comunera (San Gil, Cañón del Chicamocha, Barichara, Villanueva, caminos patrimoniales), uso extensivo de testimonios y </w:t>
      </w:r>
      <w:proofErr w:type="spellStart"/>
      <w:r>
        <w:t>microrelatos</w:t>
      </w:r>
      <w:proofErr w:type="spellEnd"/>
      <w:r>
        <w:t xml:space="preserve"> experienciales, y llamadas a la acción centradas en inmediatez (“últimos cupos”, “salida este fin”), algo esperable y en línea con pautas generalizadas para embudos de venta enfocados en redes sociales.</w:t>
      </w:r>
    </w:p>
    <w:p w14:paraId="06EAE89E" w14:textId="489853F7" w:rsidR="00101059" w:rsidRPr="008C63E6" w:rsidRDefault="00101059" w:rsidP="001706FD">
      <w:pPr>
        <w:pStyle w:val="Sinespaciado"/>
        <w:spacing w:line="360" w:lineRule="auto"/>
      </w:pPr>
      <w:r>
        <w:t>Otro</w:t>
      </w:r>
      <w:r w:rsidRPr="008C63E6">
        <w:t xml:space="preserve"> hallazgo relevante es cómo los contenidos promocionales integran </w:t>
      </w:r>
      <w:r>
        <w:t xml:space="preserve">variadamente la  </w:t>
      </w:r>
      <w:r w:rsidRPr="008C63E6">
        <w:t xml:space="preserve"> </w:t>
      </w:r>
      <w:r w:rsidRPr="008C63E6">
        <w:rPr>
          <w:rStyle w:val="Textoennegrita"/>
          <w:b w:val="0"/>
          <w:bCs/>
        </w:rPr>
        <w:t>identidad regional</w:t>
      </w:r>
      <w:r w:rsidRPr="008C63E6">
        <w:t xml:space="preserve"> de Santander. Tanto las cuentas formales como las informales aprovechan el </w:t>
      </w:r>
      <w:r w:rsidRPr="008C63E6">
        <w:rPr>
          <w:rStyle w:val="Textoennegrita"/>
          <w:b w:val="0"/>
          <w:bCs/>
        </w:rPr>
        <w:t>atractivo natural y cultural</w:t>
      </w:r>
      <w:r w:rsidRPr="008C63E6">
        <w:t xml:space="preserve"> del departamento como parte de su estrategia de marketing, aunque con matices en la forma de hacerlo. Los operadores </w:t>
      </w:r>
      <w:r w:rsidRPr="008C63E6">
        <w:rPr>
          <w:rStyle w:val="Textoennegrita"/>
          <w:b w:val="0"/>
          <w:bCs/>
        </w:rPr>
        <w:t>formales</w:t>
      </w:r>
      <w:r w:rsidRPr="008C63E6">
        <w:t xml:space="preserve"> suelen articular sus mensajes con la narrativa oficial de Santander como destino turístico: enfatizan que la región es cuna de deportes de aventura y al mismo tiempo resaltan sus pueblos patrimonio y tradiciones. En sus publicaciones es común ver menciones directas a escenarios emblemáticos.</w:t>
      </w:r>
      <w:r>
        <w:t xml:space="preserve"> </w:t>
      </w:r>
    </w:p>
    <w:p w14:paraId="79F0AB7E" w14:textId="470546C6" w:rsidR="00101059" w:rsidRDefault="00101059" w:rsidP="001706FD">
      <w:pPr>
        <w:pStyle w:val="Sinespaciado"/>
        <w:spacing w:line="360" w:lineRule="auto"/>
      </w:pPr>
      <w:r>
        <w:t xml:space="preserve">Vale la pena hacer énfasis en un elemento destacado es que </w:t>
      </w:r>
      <w:r w:rsidRPr="00B746D0">
        <w:t>en la búsqueda realizada</w:t>
      </w:r>
      <w:r>
        <w:t xml:space="preserve">. </w:t>
      </w:r>
      <w:r w:rsidRPr="00AC3AF5">
        <w:t>S</w:t>
      </w:r>
      <w:r w:rsidRPr="00B746D0">
        <w:t xml:space="preserve">e observa una abundancia de </w:t>
      </w:r>
      <w:r>
        <w:t xml:space="preserve">estos </w:t>
      </w:r>
      <w:r w:rsidRPr="00B746D0">
        <w:rPr>
          <w:rStyle w:val="Textoennegrita"/>
          <w:b w:val="0"/>
          <w:bCs/>
        </w:rPr>
        <w:t>operadores informales</w:t>
      </w:r>
      <w:r w:rsidRPr="00B746D0">
        <w:t xml:space="preserve"> en Instagram y otras redes sociales</w:t>
      </w:r>
      <w:r>
        <w:t xml:space="preserve">, esto parece democratizar la </w:t>
      </w:r>
      <w:r w:rsidRPr="00B746D0">
        <w:t xml:space="preserve">promoción turística, multiplicando los canales mediante los cuales un viajero puede descubrir las experiencias de aventura disponibles en Santander. Estos </w:t>
      </w:r>
      <w:proofErr w:type="spellStart"/>
      <w:r w:rsidRPr="00B746D0">
        <w:t>micro-emprendedores</w:t>
      </w:r>
      <w:proofErr w:type="spellEnd"/>
      <w:r w:rsidRPr="00B746D0">
        <w:t xml:space="preserve"> digitales, contribuyen a difundir masivamente la idea de Santander como paraíso de aventura asequible, lo que puede incentivar la llegada de cierto segmento de viajeros interesados principalmente en el bajo costo y la adrenalina. </w:t>
      </w:r>
    </w:p>
    <w:p w14:paraId="20F00240" w14:textId="656B09AF" w:rsidR="00101059" w:rsidRPr="006644B3" w:rsidRDefault="00101059" w:rsidP="00101059">
      <w:pPr>
        <w:pStyle w:val="Ttulo2"/>
      </w:pPr>
      <w:bookmarkStart w:id="33" w:name="_Toc218596636"/>
      <w:r w:rsidRPr="006644B3">
        <w:t>Revisión de Literatura Gris e Informes Institucionales</w:t>
      </w:r>
      <w:bookmarkEnd w:id="33"/>
    </w:p>
    <w:p w14:paraId="3293264B" w14:textId="5DC9C53F" w:rsidR="00101059" w:rsidRDefault="00101059" w:rsidP="001706FD">
      <w:pPr>
        <w:pStyle w:val="Sinespaciado"/>
        <w:spacing w:line="360" w:lineRule="auto"/>
      </w:pPr>
      <w:r>
        <w:t>En paralelo al análisis de contenido digital realizado en el capítulo anterior, se realizó esta fase explorando la dinámica contextual del sector</w:t>
      </w:r>
      <w:r w:rsidRPr="006644B3">
        <w:t xml:space="preserve"> para esclarecer por qué muchas empresas turísticas en Santander operan al margen de la formalidad, y cómo ello repercute en la competitividad de la región. </w:t>
      </w:r>
      <w:r w:rsidRPr="001C4541">
        <w:t xml:space="preserve">Esto partiendo de la base de que, en cierta medida, el comportamiento del sector puede ser contingente a factores normativos, sociales y económicos del entorno (Ritchie &amp; </w:t>
      </w:r>
      <w:proofErr w:type="spellStart"/>
      <w:r w:rsidRPr="001C4541">
        <w:t>Crouch</w:t>
      </w:r>
      <w:proofErr w:type="spellEnd"/>
      <w:r w:rsidRPr="001C4541">
        <w:t>, 2003; Hall, 2008; Scott, 2008; Porter, 1990).</w:t>
      </w:r>
    </w:p>
    <w:p w14:paraId="39BFE3EE" w14:textId="77777777" w:rsidR="00101059" w:rsidRPr="00AC4345" w:rsidRDefault="00101059" w:rsidP="00101059">
      <w:pPr>
        <w:pStyle w:val="Ttulo3"/>
      </w:pPr>
      <w:bookmarkStart w:id="34" w:name="_Toc218596637"/>
      <w:r w:rsidRPr="006644B3">
        <w:lastRenderedPageBreak/>
        <w:t xml:space="preserve">Factores Normativos </w:t>
      </w:r>
      <w:r>
        <w:t xml:space="preserve">Identificados que Inciden en la </w:t>
      </w:r>
      <w:r w:rsidRPr="00AC4345">
        <w:t>Informalidad Empresarial</w:t>
      </w:r>
      <w:bookmarkEnd w:id="34"/>
    </w:p>
    <w:p w14:paraId="1197FE13" w14:textId="77777777" w:rsidR="00101059" w:rsidRDefault="00101059" w:rsidP="001706FD">
      <w:pPr>
        <w:pStyle w:val="Sinespaciado"/>
        <w:spacing w:line="360" w:lineRule="auto"/>
      </w:pPr>
      <w:r w:rsidRPr="006644B3">
        <w:t>En Colombia, el marco regulatorio del turismo (Ley 300</w:t>
      </w:r>
      <w:r>
        <w:t xml:space="preserve"> de </w:t>
      </w:r>
      <w:r w:rsidRPr="006644B3">
        <w:t>1996 y sus modificaciones, Ley 2068</w:t>
      </w:r>
      <w:r>
        <w:t xml:space="preserve"> de </w:t>
      </w:r>
      <w:r w:rsidRPr="006644B3">
        <w:t xml:space="preserve">2020) pone en el centro el </w:t>
      </w:r>
      <w:r w:rsidRPr="006644B3">
        <w:rPr>
          <w:rStyle w:val="Textoennegrita"/>
          <w:b w:val="0"/>
          <w:bCs/>
        </w:rPr>
        <w:t>Registro Nacional de Turismo (RNT)</w:t>
      </w:r>
      <w:r w:rsidRPr="006644B3">
        <w:t xml:space="preserve">, estándares de calidad y lineamientos de sostenibilidad. En la práctica, el grado de formalización depende no solo de la existencia de la norma, sino de su </w:t>
      </w:r>
      <w:r w:rsidRPr="006644B3">
        <w:rPr>
          <w:rStyle w:val="Textoennegrita"/>
          <w:b w:val="0"/>
          <w:bCs/>
        </w:rPr>
        <w:t>implementación territorial</w:t>
      </w:r>
      <w:r w:rsidRPr="006644B3">
        <w:t xml:space="preserve"> (divulgación, inspección, control) y de que los prestadores </w:t>
      </w:r>
      <w:r>
        <w:t xml:space="preserve">de servicios turísticos en general perciban de verdad una propuesta de valor solida derivada, tangibilizada en </w:t>
      </w:r>
      <w:r w:rsidRPr="006644B3">
        <w:rPr>
          <w:rStyle w:val="Textoennegrita"/>
          <w:b w:val="0"/>
          <w:bCs/>
        </w:rPr>
        <w:t>beneficios netos</w:t>
      </w:r>
      <w:r w:rsidRPr="006644B3">
        <w:t xml:space="preserve"> frente a los costos de cumplir. En </w:t>
      </w:r>
      <w:r>
        <w:t xml:space="preserve">el departamento de </w:t>
      </w:r>
      <w:r w:rsidRPr="006644B3">
        <w:t xml:space="preserve">Santander, la estructura del tejido productivo </w:t>
      </w:r>
      <w:r>
        <w:t>(</w:t>
      </w:r>
      <w:r w:rsidRPr="006644B3">
        <w:t>mayoritariamente microempresarial</w:t>
      </w:r>
      <w:r>
        <w:t>)</w:t>
      </w:r>
      <w:r w:rsidRPr="006644B3">
        <w:t xml:space="preserve"> hace especialmente relevante la </w:t>
      </w:r>
      <w:r w:rsidRPr="006644B3">
        <w:rPr>
          <w:rStyle w:val="Textoennegrita"/>
          <w:b w:val="0"/>
          <w:bCs/>
        </w:rPr>
        <w:t>proporcionalidad de los requisitos</w:t>
      </w:r>
      <w:r w:rsidRPr="006644B3">
        <w:t xml:space="preserve"> y la </w:t>
      </w:r>
      <w:r w:rsidRPr="006644B3">
        <w:rPr>
          <w:rStyle w:val="Textoennegrita"/>
          <w:b w:val="0"/>
          <w:bCs/>
        </w:rPr>
        <w:t>simplificación de trámites</w:t>
      </w:r>
      <w:r w:rsidRPr="006644B3">
        <w:t>. Adicionalmente, la presión competitiva de la oferta informal (incluida vivienda turística en plataformas) tensiona la efectividad del RNT y de las sanciones.</w:t>
      </w:r>
    </w:p>
    <w:p w14:paraId="0EFAE5DD" w14:textId="1AF2E414" w:rsidR="00101059" w:rsidRPr="00AC4345" w:rsidRDefault="00101059" w:rsidP="00101059">
      <w:pPr>
        <w:pStyle w:val="Descripcin"/>
        <w:spacing w:line="360" w:lineRule="auto"/>
        <w:rPr>
          <w:b w:val="0"/>
          <w:bCs w:val="0"/>
          <w:i/>
          <w:iCs/>
        </w:rPr>
      </w:pPr>
      <w:bookmarkStart w:id="35" w:name="_Toc218529129"/>
      <w:r w:rsidRPr="008B1887">
        <w:t xml:space="preserve">Tabla </w:t>
      </w:r>
      <w:r w:rsidR="00084DA0">
        <w:fldChar w:fldCharType="begin"/>
      </w:r>
      <w:r w:rsidR="00084DA0">
        <w:instrText xml:space="preserve"> SEQ Tabla \* ARABIC </w:instrText>
      </w:r>
      <w:r w:rsidR="00084DA0">
        <w:fldChar w:fldCharType="separate"/>
      </w:r>
      <w:r w:rsidR="005A45A4">
        <w:rPr>
          <w:noProof/>
        </w:rPr>
        <w:t>5</w:t>
      </w:r>
      <w:r w:rsidR="00084DA0">
        <w:rPr>
          <w:noProof/>
        </w:rPr>
        <w:fldChar w:fldCharType="end"/>
      </w:r>
      <w:r w:rsidRPr="008B1887">
        <w:t xml:space="preserve">. </w:t>
      </w:r>
      <w:r>
        <w:br/>
      </w:r>
      <w:r w:rsidRPr="00AC4345">
        <w:rPr>
          <w:b w:val="0"/>
          <w:bCs w:val="0"/>
          <w:i/>
          <w:iCs/>
        </w:rPr>
        <w:t>Marco normativo y efectos esperados sobre la formalización</w:t>
      </w:r>
      <w:bookmarkEnd w:id="35"/>
    </w:p>
    <w:tbl>
      <w:tblPr>
        <w:tblStyle w:val="Tabladelista6concolores1"/>
        <w:tblW w:w="5000" w:type="pct"/>
        <w:tblLayout w:type="fixed"/>
        <w:tblLook w:val="04A0" w:firstRow="1" w:lastRow="0" w:firstColumn="1" w:lastColumn="0" w:noHBand="0" w:noVBand="1"/>
      </w:tblPr>
      <w:tblGrid>
        <w:gridCol w:w="1269"/>
        <w:gridCol w:w="1185"/>
        <w:gridCol w:w="1363"/>
        <w:gridCol w:w="1133"/>
        <w:gridCol w:w="1080"/>
        <w:gridCol w:w="1625"/>
        <w:gridCol w:w="1705"/>
      </w:tblGrid>
      <w:tr w:rsidR="00101059" w:rsidRPr="00AC4345" w14:paraId="1C5D4EDE" w14:textId="77777777" w:rsidTr="00831F1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8" w:type="pct"/>
            <w:vAlign w:val="center"/>
            <w:hideMark/>
          </w:tcPr>
          <w:p w14:paraId="4A510349" w14:textId="77777777" w:rsidR="00101059" w:rsidRPr="00987E4D" w:rsidRDefault="00101059" w:rsidP="00831F13">
            <w:pPr>
              <w:spacing w:line="240" w:lineRule="auto"/>
              <w:ind w:firstLine="0"/>
              <w:jc w:val="center"/>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Componente normativo</w:t>
            </w:r>
          </w:p>
        </w:tc>
        <w:tc>
          <w:tcPr>
            <w:tcW w:w="633" w:type="pct"/>
            <w:vAlign w:val="center"/>
            <w:hideMark/>
          </w:tcPr>
          <w:p w14:paraId="20F7E39C" w14:textId="77777777" w:rsidR="00101059" w:rsidRPr="00987E4D"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Norma / Instrumento (año)</w:t>
            </w:r>
          </w:p>
        </w:tc>
        <w:tc>
          <w:tcPr>
            <w:tcW w:w="728" w:type="pct"/>
            <w:vAlign w:val="center"/>
            <w:hideMark/>
          </w:tcPr>
          <w:p w14:paraId="60E39436" w14:textId="77777777" w:rsidR="00101059" w:rsidRPr="00987E4D"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Qué exige o regula</w:t>
            </w:r>
          </w:p>
        </w:tc>
        <w:tc>
          <w:tcPr>
            <w:tcW w:w="605" w:type="pct"/>
            <w:vAlign w:val="center"/>
            <w:hideMark/>
          </w:tcPr>
          <w:p w14:paraId="15B9D2D5" w14:textId="77777777" w:rsidR="00101059" w:rsidRPr="00987E4D"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Cómo afecta la formalización (mecanismo causal)</w:t>
            </w:r>
          </w:p>
        </w:tc>
        <w:tc>
          <w:tcPr>
            <w:tcW w:w="577" w:type="pct"/>
            <w:vAlign w:val="center"/>
            <w:hideMark/>
          </w:tcPr>
          <w:p w14:paraId="14D9E87C" w14:textId="77777777" w:rsidR="00101059" w:rsidRPr="00987E4D"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Evidencia / indicadores citados (ejemplos)</w:t>
            </w:r>
          </w:p>
        </w:tc>
        <w:tc>
          <w:tcPr>
            <w:tcW w:w="868" w:type="pct"/>
            <w:vAlign w:val="center"/>
            <w:hideMark/>
          </w:tcPr>
          <w:p w14:paraId="06B88BE2" w14:textId="77777777" w:rsidR="00101059" w:rsidRPr="001C4541"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1C4541">
              <w:rPr>
                <w:rFonts w:ascii="Times New Roman" w:eastAsia="Times New Roman" w:hAnsi="Times New Roman"/>
                <w:sz w:val="16"/>
                <w:szCs w:val="16"/>
                <w:lang w:eastAsia="es-CO"/>
              </w:rPr>
              <w:t>Riesgos por incumplimiento / brechas</w:t>
            </w:r>
          </w:p>
        </w:tc>
        <w:tc>
          <w:tcPr>
            <w:tcW w:w="911" w:type="pct"/>
            <w:vAlign w:val="center"/>
            <w:hideMark/>
          </w:tcPr>
          <w:p w14:paraId="70DAFE5E" w14:textId="77777777" w:rsidR="00101059" w:rsidRPr="001C4541"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1C4541">
              <w:rPr>
                <w:rFonts w:ascii="Times New Roman" w:eastAsia="Times New Roman" w:hAnsi="Times New Roman"/>
                <w:sz w:val="16"/>
                <w:szCs w:val="16"/>
                <w:lang w:eastAsia="es-CO"/>
              </w:rPr>
              <w:t>Fuente</w:t>
            </w:r>
          </w:p>
        </w:tc>
      </w:tr>
      <w:tr w:rsidR="00101059" w:rsidRPr="00AC4345" w14:paraId="35BBA215" w14:textId="77777777" w:rsidTr="00831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8" w:type="pct"/>
            <w:vAlign w:val="center"/>
            <w:hideMark/>
          </w:tcPr>
          <w:p w14:paraId="42A751B9" w14:textId="77777777" w:rsidR="00101059" w:rsidRPr="00101059" w:rsidRDefault="00101059" w:rsidP="00831F13">
            <w:pPr>
              <w:spacing w:line="240" w:lineRule="auto"/>
              <w:ind w:firstLine="0"/>
              <w:jc w:val="left"/>
              <w:rPr>
                <w:rFonts w:ascii="Times New Roman" w:eastAsia="Times New Roman" w:hAnsi="Times New Roman"/>
                <w:b w:val="0"/>
                <w:bCs w:val="0"/>
                <w:sz w:val="16"/>
                <w:szCs w:val="16"/>
                <w:lang w:eastAsia="es-CO"/>
              </w:rPr>
            </w:pPr>
            <w:r w:rsidRPr="00101059">
              <w:rPr>
                <w:rFonts w:ascii="Times New Roman" w:eastAsia="Times New Roman" w:hAnsi="Times New Roman"/>
                <w:b w:val="0"/>
                <w:bCs w:val="0"/>
                <w:sz w:val="16"/>
                <w:szCs w:val="16"/>
                <w:lang w:eastAsia="es-CO"/>
              </w:rPr>
              <w:t>Obligación de inscripción en el RNT para todos los prestadores</w:t>
            </w:r>
          </w:p>
        </w:tc>
        <w:tc>
          <w:tcPr>
            <w:tcW w:w="633" w:type="pct"/>
            <w:vAlign w:val="center"/>
            <w:hideMark/>
          </w:tcPr>
          <w:p w14:paraId="27F6ED17" w14:textId="77777777" w:rsidR="00101059" w:rsidRPr="00987E4D"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Ley 300 de 1996 (Ley General de Turismo)</w:t>
            </w:r>
          </w:p>
        </w:tc>
        <w:tc>
          <w:tcPr>
            <w:tcW w:w="728" w:type="pct"/>
            <w:vAlign w:val="center"/>
            <w:hideMark/>
          </w:tcPr>
          <w:p w14:paraId="46F25EC0" w14:textId="77777777" w:rsidR="00101059" w:rsidRPr="00987E4D"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Inscripción en RNT para operar legalmente (hoteles, agencias, guías, transporte, etc.)</w:t>
            </w:r>
          </w:p>
        </w:tc>
        <w:tc>
          <w:tcPr>
            <w:tcW w:w="605" w:type="pct"/>
            <w:vAlign w:val="center"/>
            <w:hideMark/>
          </w:tcPr>
          <w:p w14:paraId="5B29CBF5" w14:textId="77777777" w:rsidR="00101059" w:rsidRPr="00987E4D"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Fija condición de legalidad y habilitación; facilita control y estadísticas</w:t>
            </w:r>
          </w:p>
        </w:tc>
        <w:tc>
          <w:tcPr>
            <w:tcW w:w="577" w:type="pct"/>
            <w:vAlign w:val="center"/>
            <w:hideMark/>
          </w:tcPr>
          <w:p w14:paraId="6D825888" w14:textId="77777777" w:rsidR="00101059" w:rsidRPr="00987E4D"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~104.000 viviendas turísticas ofertadas vs ~67.000 con RNT (Colombia, dic. 2024)</w:t>
            </w:r>
          </w:p>
        </w:tc>
        <w:tc>
          <w:tcPr>
            <w:tcW w:w="868" w:type="pct"/>
            <w:vAlign w:val="center"/>
            <w:hideMark/>
          </w:tcPr>
          <w:p w14:paraId="3C8B5424" w14:textId="77777777" w:rsidR="00101059" w:rsidRPr="00987E4D"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Operación sin RNT; competencia desleal; menor trazabilidad</w:t>
            </w:r>
          </w:p>
        </w:tc>
        <w:tc>
          <w:tcPr>
            <w:tcW w:w="911" w:type="pct"/>
            <w:vAlign w:val="center"/>
            <w:hideMark/>
          </w:tcPr>
          <w:p w14:paraId="4827B0EF" w14:textId="77777777" w:rsidR="00101059" w:rsidRPr="001C4541"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highlight w:val="yellow"/>
                <w:lang w:eastAsia="es-CO"/>
              </w:rPr>
            </w:pPr>
            <w:r w:rsidRPr="001C4541">
              <w:rPr>
                <w:rFonts w:ascii="Times New Roman" w:hAnsi="Times New Roman"/>
                <w:sz w:val="16"/>
                <w:szCs w:val="16"/>
              </w:rPr>
              <w:t>(Congreso de Colombia, 1996; Vanguardia, 2024)</w:t>
            </w:r>
          </w:p>
        </w:tc>
      </w:tr>
      <w:tr w:rsidR="00101059" w:rsidRPr="00AC4345" w14:paraId="4A8D5753" w14:textId="77777777" w:rsidTr="00831F13">
        <w:tc>
          <w:tcPr>
            <w:cnfStyle w:val="001000000000" w:firstRow="0" w:lastRow="0" w:firstColumn="1" w:lastColumn="0" w:oddVBand="0" w:evenVBand="0" w:oddHBand="0" w:evenHBand="0" w:firstRowFirstColumn="0" w:firstRowLastColumn="0" w:lastRowFirstColumn="0" w:lastRowLastColumn="0"/>
            <w:tcW w:w="678" w:type="pct"/>
            <w:vAlign w:val="center"/>
            <w:hideMark/>
          </w:tcPr>
          <w:p w14:paraId="7A45D0A0" w14:textId="77777777" w:rsidR="00101059" w:rsidRPr="00101059" w:rsidRDefault="00101059" w:rsidP="00831F13">
            <w:pPr>
              <w:spacing w:line="240" w:lineRule="auto"/>
              <w:ind w:firstLine="0"/>
              <w:jc w:val="left"/>
              <w:rPr>
                <w:rFonts w:ascii="Times New Roman" w:eastAsia="Times New Roman" w:hAnsi="Times New Roman"/>
                <w:b w:val="0"/>
                <w:bCs w:val="0"/>
                <w:sz w:val="16"/>
                <w:szCs w:val="16"/>
                <w:lang w:eastAsia="es-CO"/>
              </w:rPr>
            </w:pPr>
            <w:r w:rsidRPr="00101059">
              <w:rPr>
                <w:rFonts w:ascii="Times New Roman" w:eastAsia="Times New Roman" w:hAnsi="Times New Roman"/>
                <w:b w:val="0"/>
                <w:bCs w:val="0"/>
                <w:sz w:val="16"/>
                <w:szCs w:val="16"/>
                <w:lang w:eastAsia="es-CO"/>
              </w:rPr>
              <w:t>Fortalecimiento de la formalización, sostenibilidad y sanciones</w:t>
            </w:r>
          </w:p>
        </w:tc>
        <w:tc>
          <w:tcPr>
            <w:tcW w:w="633" w:type="pct"/>
            <w:vAlign w:val="center"/>
            <w:hideMark/>
          </w:tcPr>
          <w:p w14:paraId="63617186" w14:textId="77777777" w:rsidR="00101059" w:rsidRPr="00987E4D"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Ley 2068 de 2020 (modifica Ley 300)</w:t>
            </w:r>
          </w:p>
        </w:tc>
        <w:tc>
          <w:tcPr>
            <w:tcW w:w="728" w:type="pct"/>
            <w:vAlign w:val="center"/>
            <w:hideMark/>
          </w:tcPr>
          <w:p w14:paraId="2C4D14FF" w14:textId="77777777" w:rsidR="00101059" w:rsidRPr="00987E4D"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Prioriza formalización, calidad y sostenibilidad; multas hasta 50 SMLMV por operar sin RNT; requisitos adicionales (seguros, bioseguridad)</w:t>
            </w:r>
          </w:p>
        </w:tc>
        <w:tc>
          <w:tcPr>
            <w:tcW w:w="605" w:type="pct"/>
            <w:vAlign w:val="center"/>
            <w:hideMark/>
          </w:tcPr>
          <w:p w14:paraId="242B4305" w14:textId="77777777" w:rsidR="00101059" w:rsidRPr="00987E4D"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Aumenta el costo esperado de la informalidad; eleva estándares</w:t>
            </w:r>
          </w:p>
        </w:tc>
        <w:tc>
          <w:tcPr>
            <w:tcW w:w="577" w:type="pct"/>
            <w:vAlign w:val="center"/>
            <w:hideMark/>
          </w:tcPr>
          <w:p w14:paraId="2AB6DC20" w14:textId="77777777" w:rsidR="00101059" w:rsidRPr="00987E4D"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Enfoque explícito de política en formalización y calidad</w:t>
            </w:r>
          </w:p>
        </w:tc>
        <w:tc>
          <w:tcPr>
            <w:tcW w:w="868" w:type="pct"/>
            <w:vAlign w:val="center"/>
            <w:hideMark/>
          </w:tcPr>
          <w:p w14:paraId="44279223" w14:textId="77777777" w:rsidR="00101059" w:rsidRPr="00987E4D"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Dificultades de control efectivo; percepción de “trámite costoso” para micro</w:t>
            </w:r>
            <w:r>
              <w:rPr>
                <w:rFonts w:ascii="Times New Roman" w:eastAsia="Times New Roman" w:hAnsi="Times New Roman"/>
                <w:sz w:val="16"/>
                <w:szCs w:val="16"/>
                <w:lang w:eastAsia="es-CO"/>
              </w:rPr>
              <w:t>, o al menos desgastante y dificultoso.</w:t>
            </w:r>
          </w:p>
        </w:tc>
        <w:tc>
          <w:tcPr>
            <w:tcW w:w="911" w:type="pct"/>
            <w:vAlign w:val="center"/>
            <w:hideMark/>
          </w:tcPr>
          <w:p w14:paraId="3D1E32BD" w14:textId="77777777" w:rsidR="00101059" w:rsidRPr="001C4541"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highlight w:val="yellow"/>
                <w:lang w:eastAsia="es-CO"/>
              </w:rPr>
            </w:pPr>
            <w:r w:rsidRPr="001C4541">
              <w:rPr>
                <w:rFonts w:ascii="Times New Roman" w:hAnsi="Times New Roman"/>
                <w:sz w:val="16"/>
                <w:szCs w:val="16"/>
              </w:rPr>
              <w:t>(Congreso de Colombia, 2020; MinCIT, 2021)</w:t>
            </w:r>
          </w:p>
        </w:tc>
      </w:tr>
      <w:tr w:rsidR="00101059" w:rsidRPr="00AC4345" w14:paraId="3708E212" w14:textId="77777777" w:rsidTr="00831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8" w:type="pct"/>
            <w:vAlign w:val="center"/>
            <w:hideMark/>
          </w:tcPr>
          <w:p w14:paraId="2B5BDCC0" w14:textId="77777777" w:rsidR="00101059" w:rsidRPr="00101059" w:rsidRDefault="00101059" w:rsidP="00831F13">
            <w:pPr>
              <w:spacing w:line="240" w:lineRule="auto"/>
              <w:ind w:firstLine="0"/>
              <w:jc w:val="left"/>
              <w:rPr>
                <w:rFonts w:ascii="Times New Roman" w:eastAsia="Times New Roman" w:hAnsi="Times New Roman"/>
                <w:b w:val="0"/>
                <w:bCs w:val="0"/>
                <w:sz w:val="16"/>
                <w:szCs w:val="16"/>
                <w:lang w:eastAsia="es-CO"/>
              </w:rPr>
            </w:pPr>
            <w:r w:rsidRPr="00101059">
              <w:rPr>
                <w:rFonts w:ascii="Times New Roman" w:eastAsia="Times New Roman" w:hAnsi="Times New Roman"/>
                <w:b w:val="0"/>
                <w:bCs w:val="0"/>
                <w:sz w:val="16"/>
                <w:szCs w:val="16"/>
                <w:lang w:eastAsia="es-CO"/>
              </w:rPr>
              <w:t>Clasificación empresarial por tamaño (ingresos)</w:t>
            </w:r>
          </w:p>
        </w:tc>
        <w:tc>
          <w:tcPr>
            <w:tcW w:w="633" w:type="pct"/>
            <w:vAlign w:val="center"/>
            <w:hideMark/>
          </w:tcPr>
          <w:p w14:paraId="7E30842B" w14:textId="77777777" w:rsidR="00101059" w:rsidRPr="00987E4D"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Decreto 957 de 2019 (MinCIT)</w:t>
            </w:r>
          </w:p>
        </w:tc>
        <w:tc>
          <w:tcPr>
            <w:tcW w:w="728" w:type="pct"/>
            <w:vAlign w:val="center"/>
            <w:hideMark/>
          </w:tcPr>
          <w:p w14:paraId="264B5E55" w14:textId="77777777" w:rsidR="00101059" w:rsidRPr="00987E4D"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Umbrales de ingresos anuales por sector para micro, pequeña, mediana</w:t>
            </w:r>
          </w:p>
        </w:tc>
        <w:tc>
          <w:tcPr>
            <w:tcW w:w="605" w:type="pct"/>
            <w:vAlign w:val="center"/>
            <w:hideMark/>
          </w:tcPr>
          <w:p w14:paraId="346EAE55" w14:textId="77777777" w:rsidR="00101059" w:rsidRPr="00987E4D"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Permite calibrar cargas y apoyos según escala real del negocio</w:t>
            </w:r>
          </w:p>
        </w:tc>
        <w:tc>
          <w:tcPr>
            <w:tcW w:w="577" w:type="pct"/>
            <w:vAlign w:val="center"/>
            <w:hideMark/>
          </w:tcPr>
          <w:p w14:paraId="1522C959" w14:textId="77777777" w:rsidR="00101059" w:rsidRPr="00987E4D"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En Santander, ~98,8% del tejido turístico son micro</w:t>
            </w:r>
            <w:r>
              <w:rPr>
                <w:rFonts w:ascii="Times New Roman" w:eastAsia="Times New Roman" w:hAnsi="Times New Roman"/>
                <w:sz w:val="16"/>
                <w:szCs w:val="16"/>
                <w:lang w:eastAsia="es-CO"/>
              </w:rPr>
              <w:t>empresas</w:t>
            </w:r>
          </w:p>
        </w:tc>
        <w:tc>
          <w:tcPr>
            <w:tcW w:w="868" w:type="pct"/>
            <w:vAlign w:val="center"/>
            <w:hideMark/>
          </w:tcPr>
          <w:p w14:paraId="72932655" w14:textId="77777777" w:rsidR="00101059" w:rsidRPr="00987E4D"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Regímenes no diferenciados pueden desincentivar cumplimiento</w:t>
            </w:r>
          </w:p>
        </w:tc>
        <w:tc>
          <w:tcPr>
            <w:tcW w:w="911" w:type="pct"/>
            <w:vAlign w:val="center"/>
            <w:hideMark/>
          </w:tcPr>
          <w:p w14:paraId="12328444" w14:textId="77777777" w:rsidR="00101059" w:rsidRPr="001C4541"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highlight w:val="yellow"/>
                <w:lang w:eastAsia="es-CO"/>
              </w:rPr>
            </w:pPr>
            <w:r w:rsidRPr="001C4541">
              <w:rPr>
                <w:rFonts w:ascii="Times New Roman" w:hAnsi="Times New Roman"/>
                <w:sz w:val="16"/>
                <w:szCs w:val="16"/>
              </w:rPr>
              <w:t>(MinCIT, 2019; Cámara de Comercio de Bucaramanga, 2024)</w:t>
            </w:r>
          </w:p>
        </w:tc>
      </w:tr>
      <w:tr w:rsidR="00101059" w:rsidRPr="00AC4345" w14:paraId="0192B378" w14:textId="77777777" w:rsidTr="00831F13">
        <w:tc>
          <w:tcPr>
            <w:cnfStyle w:val="001000000000" w:firstRow="0" w:lastRow="0" w:firstColumn="1" w:lastColumn="0" w:oddVBand="0" w:evenVBand="0" w:oddHBand="0" w:evenHBand="0" w:firstRowFirstColumn="0" w:firstRowLastColumn="0" w:lastRowFirstColumn="0" w:lastRowLastColumn="0"/>
            <w:tcW w:w="678" w:type="pct"/>
            <w:vAlign w:val="center"/>
            <w:hideMark/>
          </w:tcPr>
          <w:p w14:paraId="6AD59D4F" w14:textId="77777777" w:rsidR="00101059" w:rsidRPr="00101059" w:rsidRDefault="00101059" w:rsidP="00831F13">
            <w:pPr>
              <w:spacing w:line="240" w:lineRule="auto"/>
              <w:ind w:firstLine="0"/>
              <w:jc w:val="left"/>
              <w:rPr>
                <w:rFonts w:ascii="Times New Roman" w:eastAsia="Times New Roman" w:hAnsi="Times New Roman"/>
                <w:b w:val="0"/>
                <w:bCs w:val="0"/>
                <w:sz w:val="16"/>
                <w:szCs w:val="16"/>
                <w:lang w:eastAsia="es-CO"/>
              </w:rPr>
            </w:pPr>
            <w:r w:rsidRPr="00101059">
              <w:rPr>
                <w:rFonts w:ascii="Times New Roman" w:eastAsia="Times New Roman" w:hAnsi="Times New Roman"/>
                <w:b w:val="0"/>
                <w:bCs w:val="0"/>
                <w:sz w:val="16"/>
                <w:szCs w:val="16"/>
                <w:lang w:eastAsia="es-CO"/>
              </w:rPr>
              <w:t>Carga tributaria (IVA 19%) y trámites conexos</w:t>
            </w:r>
          </w:p>
        </w:tc>
        <w:tc>
          <w:tcPr>
            <w:tcW w:w="633" w:type="pct"/>
            <w:vAlign w:val="center"/>
            <w:hideMark/>
          </w:tcPr>
          <w:p w14:paraId="2000D890" w14:textId="77777777" w:rsidR="00101059" w:rsidRPr="00987E4D"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Régimen tributario vigente; normas sanitarias y locales</w:t>
            </w:r>
          </w:p>
        </w:tc>
        <w:tc>
          <w:tcPr>
            <w:tcW w:w="728" w:type="pct"/>
            <w:vAlign w:val="center"/>
            <w:hideMark/>
          </w:tcPr>
          <w:p w14:paraId="5B80BF56" w14:textId="77777777" w:rsidR="00101059" w:rsidRPr="00987E4D"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IVA 19% a varios servicios turísticos; licencias, usos de suelo, sanidad, etc.</w:t>
            </w:r>
          </w:p>
        </w:tc>
        <w:tc>
          <w:tcPr>
            <w:tcW w:w="605" w:type="pct"/>
            <w:vAlign w:val="center"/>
            <w:hideMark/>
          </w:tcPr>
          <w:p w14:paraId="75393AD4" w14:textId="77777777" w:rsidR="00101059" w:rsidRPr="00987E4D"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Aumenta precio relativo de la oferta formal frente a la informal</w:t>
            </w:r>
          </w:p>
        </w:tc>
        <w:tc>
          <w:tcPr>
            <w:tcW w:w="577" w:type="pct"/>
            <w:vAlign w:val="center"/>
            <w:hideMark/>
          </w:tcPr>
          <w:p w14:paraId="2F92C922" w14:textId="77777777" w:rsidR="00101059" w:rsidRPr="00987E4D"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 xml:space="preserve">Señales de menor facilidad para abrir / operar empresas </w:t>
            </w:r>
            <w:r w:rsidRPr="00987E4D">
              <w:rPr>
                <w:rFonts w:ascii="Times New Roman" w:eastAsia="Times New Roman" w:hAnsi="Times New Roman"/>
                <w:sz w:val="16"/>
                <w:szCs w:val="16"/>
                <w:lang w:eastAsia="es-CO"/>
              </w:rPr>
              <w:lastRenderedPageBreak/>
              <w:t>turísticas en Santander</w:t>
            </w:r>
          </w:p>
        </w:tc>
        <w:tc>
          <w:tcPr>
            <w:tcW w:w="868" w:type="pct"/>
            <w:vAlign w:val="center"/>
            <w:hideMark/>
          </w:tcPr>
          <w:p w14:paraId="2D3AE968" w14:textId="77777777" w:rsidR="00101059" w:rsidRPr="00987E4D"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lastRenderedPageBreak/>
              <w:t>Evasión/omisión; subregistro; traslado a informalidad</w:t>
            </w:r>
          </w:p>
        </w:tc>
        <w:tc>
          <w:tcPr>
            <w:tcW w:w="911" w:type="pct"/>
            <w:vAlign w:val="center"/>
            <w:hideMark/>
          </w:tcPr>
          <w:p w14:paraId="4818FC45" w14:textId="77777777" w:rsidR="00101059" w:rsidRPr="001C4541"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highlight w:val="yellow"/>
                <w:lang w:eastAsia="es-CO"/>
              </w:rPr>
            </w:pPr>
            <w:r w:rsidRPr="00182E8C">
              <w:rPr>
                <w:rFonts w:ascii="Times New Roman" w:hAnsi="Times New Roman"/>
                <w:sz w:val="16"/>
                <w:szCs w:val="16"/>
              </w:rPr>
              <w:t xml:space="preserve">(Consejo Privado de Competitividad &amp; COTELCO, 2023; Consejo Privado de Competitividad &amp; COTELCO, 2024; </w:t>
            </w:r>
            <w:r w:rsidRPr="00182E8C">
              <w:rPr>
                <w:rFonts w:ascii="Times New Roman" w:hAnsi="Times New Roman"/>
                <w:sz w:val="16"/>
                <w:szCs w:val="16"/>
              </w:rPr>
              <w:lastRenderedPageBreak/>
              <w:t>Instituto Municipal de Cultura y Turismo de Bucaramanga [IMCT], 2025)</w:t>
            </w:r>
          </w:p>
        </w:tc>
      </w:tr>
      <w:tr w:rsidR="00101059" w:rsidRPr="00AC4345" w14:paraId="5B02D6BC" w14:textId="77777777" w:rsidTr="00831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8" w:type="pct"/>
            <w:vAlign w:val="center"/>
            <w:hideMark/>
          </w:tcPr>
          <w:p w14:paraId="73FBB23F" w14:textId="77777777" w:rsidR="00101059" w:rsidRPr="00101059" w:rsidRDefault="00101059" w:rsidP="00831F13">
            <w:pPr>
              <w:spacing w:line="240" w:lineRule="auto"/>
              <w:ind w:firstLine="0"/>
              <w:jc w:val="left"/>
              <w:rPr>
                <w:rFonts w:ascii="Times New Roman" w:eastAsia="Times New Roman" w:hAnsi="Times New Roman"/>
                <w:b w:val="0"/>
                <w:bCs w:val="0"/>
                <w:sz w:val="16"/>
                <w:szCs w:val="16"/>
                <w:lang w:eastAsia="es-CO"/>
              </w:rPr>
            </w:pPr>
            <w:r w:rsidRPr="00101059">
              <w:rPr>
                <w:rFonts w:ascii="Times New Roman" w:eastAsia="Times New Roman" w:hAnsi="Times New Roman"/>
                <w:b w:val="0"/>
                <w:bCs w:val="0"/>
                <w:sz w:val="16"/>
                <w:szCs w:val="16"/>
                <w:lang w:eastAsia="es-CO"/>
              </w:rPr>
              <w:lastRenderedPageBreak/>
              <w:t>Política de turismo sostenible y programas de formalización</w:t>
            </w:r>
          </w:p>
        </w:tc>
        <w:tc>
          <w:tcPr>
            <w:tcW w:w="633" w:type="pct"/>
            <w:vAlign w:val="center"/>
            <w:hideMark/>
          </w:tcPr>
          <w:p w14:paraId="19F208CF" w14:textId="77777777" w:rsidR="00101059" w:rsidRPr="00987E4D"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Lineamientos MinCIT</w:t>
            </w:r>
            <w:r>
              <w:rPr>
                <w:rFonts w:ascii="Times New Roman" w:eastAsia="Times New Roman" w:hAnsi="Times New Roman"/>
                <w:sz w:val="16"/>
                <w:szCs w:val="16"/>
                <w:lang w:eastAsia="es-CO"/>
              </w:rPr>
              <w:t>-</w:t>
            </w:r>
            <w:r w:rsidRPr="00987E4D">
              <w:rPr>
                <w:rFonts w:ascii="Times New Roman" w:eastAsia="Times New Roman" w:hAnsi="Times New Roman"/>
                <w:sz w:val="16"/>
                <w:szCs w:val="16"/>
                <w:lang w:eastAsia="es-CO"/>
              </w:rPr>
              <w:t>FONTUR; “Brigadas por la Formalización”</w:t>
            </w:r>
          </w:p>
        </w:tc>
        <w:tc>
          <w:tcPr>
            <w:tcW w:w="728" w:type="pct"/>
            <w:vAlign w:val="center"/>
            <w:hideMark/>
          </w:tcPr>
          <w:p w14:paraId="7548BE32" w14:textId="77777777" w:rsidR="00101059" w:rsidRPr="00987E4D"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Acompañamient</w:t>
            </w:r>
            <w:r>
              <w:rPr>
                <w:rFonts w:ascii="Times New Roman" w:eastAsia="Times New Roman" w:hAnsi="Times New Roman"/>
                <w:sz w:val="16"/>
                <w:szCs w:val="16"/>
                <w:lang w:eastAsia="es-CO"/>
              </w:rPr>
              <w:t>o</w:t>
            </w:r>
            <w:r w:rsidRPr="00987E4D">
              <w:rPr>
                <w:rFonts w:ascii="Times New Roman" w:eastAsia="Times New Roman" w:hAnsi="Times New Roman"/>
                <w:sz w:val="16"/>
                <w:szCs w:val="16"/>
                <w:lang w:eastAsia="es-CO"/>
              </w:rPr>
              <w:t>, capacitación, rutas de formalización</w:t>
            </w:r>
          </w:p>
        </w:tc>
        <w:tc>
          <w:tcPr>
            <w:tcW w:w="605" w:type="pct"/>
            <w:vAlign w:val="center"/>
            <w:hideMark/>
          </w:tcPr>
          <w:p w14:paraId="02B56B92" w14:textId="77777777" w:rsidR="00101059" w:rsidRPr="00987E4D"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Reduce fricciones de entrada; mejora capacidades y cumplimiento</w:t>
            </w:r>
          </w:p>
        </w:tc>
        <w:tc>
          <w:tcPr>
            <w:tcW w:w="577" w:type="pct"/>
            <w:vAlign w:val="center"/>
            <w:hideMark/>
          </w:tcPr>
          <w:p w14:paraId="04EC66A2" w14:textId="77777777" w:rsidR="00101059" w:rsidRPr="00987E4D"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Experiencias de rutas de formalización en regiones vecinas</w:t>
            </w:r>
          </w:p>
        </w:tc>
        <w:tc>
          <w:tcPr>
            <w:tcW w:w="868" w:type="pct"/>
            <w:vAlign w:val="center"/>
            <w:hideMark/>
          </w:tcPr>
          <w:p w14:paraId="7C29F6DE" w14:textId="77777777" w:rsidR="00101059" w:rsidRPr="00987E4D"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987E4D">
              <w:rPr>
                <w:rFonts w:ascii="Times New Roman" w:eastAsia="Times New Roman" w:hAnsi="Times New Roman"/>
                <w:sz w:val="16"/>
                <w:szCs w:val="16"/>
                <w:lang w:eastAsia="es-CO"/>
              </w:rPr>
              <w:t>Escala y continuidad de programas; adopción desigual</w:t>
            </w:r>
          </w:p>
        </w:tc>
        <w:tc>
          <w:tcPr>
            <w:tcW w:w="911" w:type="pct"/>
            <w:vAlign w:val="center"/>
            <w:hideMark/>
          </w:tcPr>
          <w:p w14:paraId="70F0A550" w14:textId="77777777" w:rsidR="00101059" w:rsidRPr="001C4541"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highlight w:val="yellow"/>
                <w:lang w:eastAsia="es-CO"/>
              </w:rPr>
            </w:pPr>
            <w:r w:rsidRPr="001C4541">
              <w:rPr>
                <w:rFonts w:ascii="Times New Roman" w:hAnsi="Times New Roman"/>
                <w:sz w:val="16"/>
                <w:szCs w:val="16"/>
              </w:rPr>
              <w:t>(MinCIT &amp; FONTUR, 2022)</w:t>
            </w:r>
          </w:p>
        </w:tc>
      </w:tr>
    </w:tbl>
    <w:p w14:paraId="16F4E110" w14:textId="77777777" w:rsidR="00101059" w:rsidRDefault="00101059" w:rsidP="00101059">
      <w:pPr>
        <w:pStyle w:val="Sinespaciado"/>
      </w:pPr>
    </w:p>
    <w:p w14:paraId="481A568D" w14:textId="77777777" w:rsidR="00101059" w:rsidRPr="00AC4345" w:rsidRDefault="00101059" w:rsidP="00101059">
      <w:pPr>
        <w:pStyle w:val="Ttulo3"/>
      </w:pPr>
      <w:bookmarkStart w:id="36" w:name="_Toc218596638"/>
      <w:r w:rsidRPr="00AC4345">
        <w:t xml:space="preserve">Factores sociales </w:t>
      </w:r>
      <w:r>
        <w:t xml:space="preserve">identificados que inciden en la </w:t>
      </w:r>
      <w:r w:rsidRPr="00AC4345">
        <w:t>informalidad empresarial</w:t>
      </w:r>
      <w:bookmarkEnd w:id="36"/>
    </w:p>
    <w:p w14:paraId="357740B5" w14:textId="77777777" w:rsidR="00101059" w:rsidRDefault="00101059" w:rsidP="001706FD">
      <w:pPr>
        <w:pStyle w:val="Sinespaciado"/>
        <w:spacing w:line="360" w:lineRule="auto"/>
      </w:pPr>
      <w:r w:rsidRPr="00AC4345">
        <w:t xml:space="preserve">Más allá de la norma, la formalización </w:t>
      </w:r>
      <w:r>
        <w:t>empresarial del sector puede estar condicionada por</w:t>
      </w:r>
      <w:r w:rsidRPr="00AC4345">
        <w:t xml:space="preserve"> </w:t>
      </w:r>
      <w:r w:rsidRPr="00AC4345">
        <w:rPr>
          <w:rStyle w:val="Textoennegrita"/>
          <w:b w:val="0"/>
          <w:bCs/>
        </w:rPr>
        <w:t>hábitos, creencias y capacidades</w:t>
      </w:r>
      <w:r w:rsidRPr="00AC4345">
        <w:t xml:space="preserve">. </w:t>
      </w:r>
    </w:p>
    <w:p w14:paraId="3AFA1F4B" w14:textId="77777777" w:rsidR="00101059" w:rsidRDefault="00101059" w:rsidP="001706FD">
      <w:pPr>
        <w:pStyle w:val="Sinespaciado"/>
        <w:spacing w:line="360" w:lineRule="auto"/>
      </w:pPr>
      <w:r>
        <w:t xml:space="preserve">Esto es entendible dado que más allá del previsible foco en la dinámica empresarial, la toma de decisiones es un factor que no se desliga de decisiones humanas y teorías de comportamiento conductual esperable </w:t>
      </w:r>
    </w:p>
    <w:p w14:paraId="288F5B49" w14:textId="77777777" w:rsidR="00101059" w:rsidRDefault="00101059" w:rsidP="001706FD">
      <w:pPr>
        <w:pStyle w:val="Sinespaciado"/>
        <w:spacing w:line="360" w:lineRule="auto"/>
      </w:pPr>
      <w:r>
        <w:t>Estando moduladas por normas sociales, percepciones de riesgo, costos de transacción y expectativas de legitimidad, no solo por incentivos puramente económicos (</w:t>
      </w:r>
      <w:proofErr w:type="spellStart"/>
      <w:r>
        <w:t>Thaler</w:t>
      </w:r>
      <w:proofErr w:type="spellEnd"/>
      <w:r>
        <w:t xml:space="preserve"> &amp; Sunstein, 2008).</w:t>
      </w:r>
    </w:p>
    <w:p w14:paraId="1EADCD99" w14:textId="77777777" w:rsidR="00101059" w:rsidRDefault="00101059" w:rsidP="001706FD">
      <w:pPr>
        <w:pStyle w:val="Sinespaciado"/>
        <w:spacing w:line="360" w:lineRule="auto"/>
      </w:pPr>
      <w:r w:rsidRPr="00AC4345">
        <w:t xml:space="preserve">En Santander persisten patrones de </w:t>
      </w:r>
      <w:r w:rsidRPr="00AC4345">
        <w:rPr>
          <w:rStyle w:val="Textoennegrita"/>
          <w:b w:val="0"/>
          <w:bCs/>
        </w:rPr>
        <w:t>tolerancia cultural a la informalidad</w:t>
      </w:r>
      <w:r w:rsidRPr="00AC4345">
        <w:t xml:space="preserve"> (flexibilidad percibida, solución rápida, desconfianza hacia trámites), </w:t>
      </w:r>
      <w:r w:rsidRPr="00AC4345">
        <w:rPr>
          <w:rStyle w:val="Textoennegrita"/>
          <w:b w:val="0"/>
          <w:bCs/>
        </w:rPr>
        <w:t>brechas de capital humano</w:t>
      </w:r>
      <w:r w:rsidRPr="00AC4345">
        <w:t xml:space="preserve"> (bajo conocimiento normativo, contable, de servicio y bilingüismo) y </w:t>
      </w:r>
      <w:r w:rsidRPr="00AC4345">
        <w:rPr>
          <w:rStyle w:val="Textoennegrita"/>
          <w:b w:val="0"/>
          <w:bCs/>
        </w:rPr>
        <w:t>débil asociatividad</w:t>
      </w:r>
      <w:r w:rsidRPr="00AC4345">
        <w:t xml:space="preserve"> en segmentos intensivos en microempresas</w:t>
      </w:r>
      <w:r>
        <w:t xml:space="preserve">. </w:t>
      </w:r>
    </w:p>
    <w:p w14:paraId="0CB52467" w14:textId="77777777" w:rsidR="00101059" w:rsidRDefault="00101059" w:rsidP="001706FD">
      <w:pPr>
        <w:pStyle w:val="Sinespaciado"/>
        <w:spacing w:line="360" w:lineRule="auto"/>
      </w:pPr>
      <w:r>
        <w:t xml:space="preserve">Esto se evidencia en reportes regionales y gremiales sobre informalidad laboral, capacidades del talento y fragmentación del tejido productivo, así como en la baja adopción de certificaciones y estándares (Comisión Regional de Competitividad de Santander, 2018, 2023; Cámara de Comercio de Bucaramanga, 2024; Consejo Privado de Competitividad &amp; COTELCO, 2023, 2024). Adicionalmente, boletines del observatorio local registran volatilidad operativa y rezagos en desempeño sectorial que refuerzan incentivos a operar por fuera del circuito formal (IMCT, 2025a, 2025b). </w:t>
      </w:r>
    </w:p>
    <w:p w14:paraId="1C423147" w14:textId="77777777" w:rsidR="00101059" w:rsidRDefault="00101059" w:rsidP="001706FD">
      <w:pPr>
        <w:pStyle w:val="Sinespaciado"/>
        <w:spacing w:line="360" w:lineRule="auto"/>
      </w:pPr>
      <w:r>
        <w:t xml:space="preserve">También, de base, es observable desde el reflejo en las </w:t>
      </w:r>
      <w:r w:rsidRPr="00AC4345">
        <w:t xml:space="preserve">altas tasas de </w:t>
      </w:r>
      <w:r w:rsidRPr="00AC4345">
        <w:rPr>
          <w:rStyle w:val="Textoennegrita"/>
          <w:b w:val="0"/>
          <w:bCs/>
        </w:rPr>
        <w:t>informalidad laboral</w:t>
      </w:r>
      <w:r w:rsidRPr="00AC4345">
        <w:t xml:space="preserve"> </w:t>
      </w:r>
      <w:r>
        <w:t xml:space="preserve">reportadas </w:t>
      </w:r>
      <w:r w:rsidRPr="00AC4345">
        <w:t xml:space="preserve">y </w:t>
      </w:r>
      <w:r>
        <w:t xml:space="preserve">una consecuente baja adopción un asumible </w:t>
      </w:r>
      <w:r w:rsidRPr="00AC4345">
        <w:t xml:space="preserve">en </w:t>
      </w:r>
      <w:r>
        <w:t xml:space="preserve">la </w:t>
      </w:r>
      <w:r w:rsidRPr="00AC4345">
        <w:t xml:space="preserve">baja adopción </w:t>
      </w:r>
      <w:r>
        <w:t>de medios oficiales de certificación (Ausencia de registro en el RNT, por ejemplo)</w:t>
      </w:r>
      <w:r w:rsidRPr="00AC4345">
        <w:t xml:space="preserve">. El fortalecimiento de clústeres, </w:t>
      </w:r>
      <w:r w:rsidRPr="00AC4345">
        <w:lastRenderedPageBreak/>
        <w:t xml:space="preserve">redes y confianzas con lo público </w:t>
      </w:r>
      <w:r>
        <w:t>pueden ser clave desde la exploración de este factor, tal como se evidencia en la siguiente tabla de análisis.</w:t>
      </w:r>
    </w:p>
    <w:p w14:paraId="32692A90" w14:textId="2DAF412C" w:rsidR="00101059" w:rsidRPr="00AC4345" w:rsidRDefault="00101059" w:rsidP="00101059">
      <w:pPr>
        <w:pStyle w:val="Descripcin"/>
        <w:spacing w:line="360" w:lineRule="auto"/>
        <w:rPr>
          <w:b w:val="0"/>
          <w:bCs w:val="0"/>
          <w:i/>
          <w:iCs/>
        </w:rPr>
      </w:pPr>
      <w:bookmarkStart w:id="37" w:name="_Toc218529130"/>
      <w:r w:rsidRPr="008B1887">
        <w:t xml:space="preserve">Tabla </w:t>
      </w:r>
      <w:r w:rsidR="00084DA0">
        <w:fldChar w:fldCharType="begin"/>
      </w:r>
      <w:r w:rsidR="00084DA0">
        <w:instrText xml:space="preserve"> SEQ Tabla \* ARABIC </w:instrText>
      </w:r>
      <w:r w:rsidR="00084DA0">
        <w:fldChar w:fldCharType="separate"/>
      </w:r>
      <w:r w:rsidR="005A45A4">
        <w:rPr>
          <w:noProof/>
        </w:rPr>
        <w:t>6</w:t>
      </w:r>
      <w:r w:rsidR="00084DA0">
        <w:rPr>
          <w:noProof/>
        </w:rPr>
        <w:fldChar w:fldCharType="end"/>
      </w:r>
      <w:r w:rsidRPr="008B1887">
        <w:t xml:space="preserve">. </w:t>
      </w:r>
      <w:r>
        <w:br/>
      </w:r>
      <w:r w:rsidRPr="00AC4345">
        <w:rPr>
          <w:b w:val="0"/>
          <w:bCs w:val="0"/>
          <w:i/>
          <w:iCs/>
        </w:rPr>
        <w:t>Factores sociales y su vínculo con la formalización</w:t>
      </w:r>
      <w:bookmarkEnd w:id="37"/>
    </w:p>
    <w:tbl>
      <w:tblPr>
        <w:tblStyle w:val="Tabladelista6concolores1"/>
        <w:tblW w:w="5000" w:type="pct"/>
        <w:tblLook w:val="04A0" w:firstRow="1" w:lastRow="0" w:firstColumn="1" w:lastColumn="0" w:noHBand="0" w:noVBand="1"/>
      </w:tblPr>
      <w:tblGrid>
        <w:gridCol w:w="1277"/>
        <w:gridCol w:w="1855"/>
        <w:gridCol w:w="1372"/>
        <w:gridCol w:w="1425"/>
        <w:gridCol w:w="1748"/>
        <w:gridCol w:w="1683"/>
      </w:tblGrid>
      <w:tr w:rsidR="00101059" w:rsidRPr="005A1098" w14:paraId="3F662F9B" w14:textId="77777777" w:rsidTr="00831F1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2" w:type="pct"/>
            <w:vAlign w:val="center"/>
            <w:hideMark/>
          </w:tcPr>
          <w:p w14:paraId="0792B1E1" w14:textId="77777777" w:rsidR="00101059" w:rsidRPr="005A1098" w:rsidRDefault="00101059" w:rsidP="00831F13">
            <w:pPr>
              <w:spacing w:line="240" w:lineRule="auto"/>
              <w:ind w:firstLine="0"/>
              <w:jc w:val="center"/>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Factor social</w:t>
            </w:r>
          </w:p>
        </w:tc>
        <w:tc>
          <w:tcPr>
            <w:tcW w:w="991" w:type="pct"/>
            <w:vAlign w:val="center"/>
            <w:hideMark/>
          </w:tcPr>
          <w:p w14:paraId="21BEB6DE" w14:textId="77777777" w:rsidR="00101059" w:rsidRPr="005A1098"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Descripción en contexto de Santander</w:t>
            </w:r>
          </w:p>
        </w:tc>
        <w:tc>
          <w:tcPr>
            <w:tcW w:w="733" w:type="pct"/>
            <w:vAlign w:val="center"/>
            <w:hideMark/>
          </w:tcPr>
          <w:p w14:paraId="2C7A29FB" w14:textId="77777777" w:rsidR="00101059" w:rsidRPr="005A1098"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Efecto sobre la formalización (mecanismo)</w:t>
            </w:r>
          </w:p>
        </w:tc>
        <w:tc>
          <w:tcPr>
            <w:tcW w:w="761" w:type="pct"/>
            <w:vAlign w:val="center"/>
            <w:hideMark/>
          </w:tcPr>
          <w:p w14:paraId="65A95906" w14:textId="77777777" w:rsidR="00101059" w:rsidRPr="005A1098"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Indicadores / ejemplos citados</w:t>
            </w:r>
          </w:p>
        </w:tc>
        <w:tc>
          <w:tcPr>
            <w:tcW w:w="934" w:type="pct"/>
            <w:vAlign w:val="center"/>
            <w:hideMark/>
          </w:tcPr>
          <w:p w14:paraId="2CC92907" w14:textId="77777777" w:rsidR="00101059" w:rsidRPr="005A1098"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Brecha / hipótesis explicativa</w:t>
            </w:r>
          </w:p>
        </w:tc>
        <w:tc>
          <w:tcPr>
            <w:tcW w:w="899" w:type="pct"/>
            <w:vAlign w:val="center"/>
            <w:hideMark/>
          </w:tcPr>
          <w:p w14:paraId="3C37AFF5" w14:textId="77777777" w:rsidR="00101059" w:rsidRPr="005A1098"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6"/>
                <w:szCs w:val="16"/>
                <w:highlight w:val="yellow"/>
                <w:lang w:eastAsia="es-CO"/>
              </w:rPr>
            </w:pPr>
            <w:r w:rsidRPr="005A1098">
              <w:rPr>
                <w:rFonts w:ascii="Times New Roman" w:eastAsia="Times New Roman" w:hAnsi="Times New Roman"/>
                <w:sz w:val="16"/>
                <w:szCs w:val="16"/>
                <w:lang w:eastAsia="es-CO"/>
              </w:rPr>
              <w:t>Fuente base</w:t>
            </w:r>
          </w:p>
        </w:tc>
      </w:tr>
      <w:tr w:rsidR="00101059" w:rsidRPr="005A1098" w14:paraId="0A967D88" w14:textId="77777777" w:rsidTr="00831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2" w:type="pct"/>
            <w:vAlign w:val="center"/>
            <w:hideMark/>
          </w:tcPr>
          <w:p w14:paraId="4E3D32D6" w14:textId="77777777" w:rsidR="00101059" w:rsidRPr="00101059" w:rsidRDefault="00101059" w:rsidP="00831F13">
            <w:pPr>
              <w:spacing w:line="240" w:lineRule="auto"/>
              <w:ind w:firstLine="0"/>
              <w:jc w:val="left"/>
              <w:rPr>
                <w:rFonts w:ascii="Times New Roman" w:eastAsia="Times New Roman" w:hAnsi="Times New Roman"/>
                <w:b w:val="0"/>
                <w:bCs w:val="0"/>
                <w:sz w:val="16"/>
                <w:szCs w:val="16"/>
                <w:lang w:eastAsia="es-CO"/>
              </w:rPr>
            </w:pPr>
            <w:r w:rsidRPr="00101059">
              <w:rPr>
                <w:rFonts w:ascii="Times New Roman" w:eastAsia="Times New Roman" w:hAnsi="Times New Roman"/>
                <w:b w:val="0"/>
                <w:bCs w:val="0"/>
                <w:sz w:val="16"/>
                <w:szCs w:val="16"/>
                <w:lang w:eastAsia="es-CO"/>
              </w:rPr>
              <w:t>Cultura empresarial y percepción de la formalidad</w:t>
            </w:r>
          </w:p>
        </w:tc>
        <w:tc>
          <w:tcPr>
            <w:tcW w:w="991" w:type="pct"/>
            <w:vAlign w:val="center"/>
            <w:hideMark/>
          </w:tcPr>
          <w:p w14:paraId="1CD41A4E"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Persistencia de operación “por fuera” en guianza, transporte y alojamientos pequeños</w:t>
            </w:r>
          </w:p>
        </w:tc>
        <w:tc>
          <w:tcPr>
            <w:tcW w:w="733" w:type="pct"/>
            <w:vAlign w:val="center"/>
            <w:hideMark/>
          </w:tcPr>
          <w:p w14:paraId="1001DEA8"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La formalidad se percibe costosa / engorrosa frente a beneficios difusos</w:t>
            </w:r>
          </w:p>
        </w:tc>
        <w:tc>
          <w:tcPr>
            <w:tcW w:w="761" w:type="pct"/>
            <w:vAlign w:val="center"/>
            <w:hideMark/>
          </w:tcPr>
          <w:p w14:paraId="32C78EFA"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Informalidad laboral turismo ~77% (2018) vs ~70% nacional</w:t>
            </w:r>
          </w:p>
        </w:tc>
        <w:tc>
          <w:tcPr>
            <w:tcW w:w="934" w:type="pct"/>
            <w:vAlign w:val="center"/>
            <w:hideMark/>
          </w:tcPr>
          <w:p w14:paraId="2CC4CC49"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Normalización social de la informalidad.</w:t>
            </w:r>
          </w:p>
          <w:p w14:paraId="14DDE098"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Priorización de liquidez inmediata (mentalidad corto plazo).</w:t>
            </w:r>
          </w:p>
        </w:tc>
        <w:tc>
          <w:tcPr>
            <w:tcW w:w="899" w:type="pct"/>
            <w:vAlign w:val="center"/>
            <w:hideMark/>
          </w:tcPr>
          <w:p w14:paraId="1EFDD30E"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highlight w:val="yellow"/>
                <w:lang w:eastAsia="es-CO"/>
              </w:rPr>
            </w:pPr>
            <w:r w:rsidRPr="005A1098">
              <w:rPr>
                <w:rFonts w:ascii="Times New Roman" w:hAnsi="Times New Roman"/>
                <w:sz w:val="16"/>
                <w:szCs w:val="16"/>
              </w:rPr>
              <w:t>(Comisión Regional de Competitividad de Santander, 2018; Marín Ortega Abogados, 2024)</w:t>
            </w:r>
          </w:p>
        </w:tc>
      </w:tr>
      <w:tr w:rsidR="00101059" w:rsidRPr="005A1098" w14:paraId="7A7D6327" w14:textId="77777777" w:rsidTr="00831F13">
        <w:tc>
          <w:tcPr>
            <w:cnfStyle w:val="001000000000" w:firstRow="0" w:lastRow="0" w:firstColumn="1" w:lastColumn="0" w:oddVBand="0" w:evenVBand="0" w:oddHBand="0" w:evenHBand="0" w:firstRowFirstColumn="0" w:firstRowLastColumn="0" w:lastRowFirstColumn="0" w:lastRowLastColumn="0"/>
            <w:tcW w:w="682" w:type="pct"/>
            <w:vAlign w:val="center"/>
            <w:hideMark/>
          </w:tcPr>
          <w:p w14:paraId="4A5A7BC9" w14:textId="77777777" w:rsidR="00101059" w:rsidRPr="00101059" w:rsidRDefault="00101059" w:rsidP="00831F13">
            <w:pPr>
              <w:spacing w:line="240" w:lineRule="auto"/>
              <w:ind w:firstLine="0"/>
              <w:jc w:val="left"/>
              <w:rPr>
                <w:rFonts w:ascii="Times New Roman" w:eastAsia="Times New Roman" w:hAnsi="Times New Roman"/>
                <w:b w:val="0"/>
                <w:bCs w:val="0"/>
                <w:sz w:val="16"/>
                <w:szCs w:val="16"/>
                <w:lang w:eastAsia="es-CO"/>
              </w:rPr>
            </w:pPr>
            <w:r w:rsidRPr="00101059">
              <w:rPr>
                <w:rFonts w:ascii="Times New Roman" w:eastAsia="Times New Roman" w:hAnsi="Times New Roman"/>
                <w:b w:val="0"/>
                <w:bCs w:val="0"/>
                <w:sz w:val="16"/>
                <w:szCs w:val="16"/>
                <w:lang w:eastAsia="es-CO"/>
              </w:rPr>
              <w:t>Capital humano y formación</w:t>
            </w:r>
          </w:p>
        </w:tc>
        <w:tc>
          <w:tcPr>
            <w:tcW w:w="991" w:type="pct"/>
            <w:vAlign w:val="center"/>
            <w:hideMark/>
          </w:tcPr>
          <w:p w14:paraId="0C4B9C66"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Limitada capacitación empresarial/técnica.</w:t>
            </w:r>
          </w:p>
          <w:p w14:paraId="4BBBA861"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Baja oferta especializada.</w:t>
            </w:r>
          </w:p>
          <w:p w14:paraId="79377B55"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Bilingüismo escaso.</w:t>
            </w:r>
          </w:p>
        </w:tc>
        <w:tc>
          <w:tcPr>
            <w:tcW w:w="733" w:type="pct"/>
            <w:vAlign w:val="center"/>
            <w:hideMark/>
          </w:tcPr>
          <w:p w14:paraId="608373DF"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Desconocimiento del RNT y obligaciones; servicio inconsistente; baja calidad</w:t>
            </w:r>
          </w:p>
        </w:tc>
        <w:tc>
          <w:tcPr>
            <w:tcW w:w="761" w:type="pct"/>
            <w:vAlign w:val="center"/>
            <w:hideMark/>
          </w:tcPr>
          <w:p w14:paraId="2E0125ED"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Índice: “colegios con formación en turismo” bajo.</w:t>
            </w:r>
          </w:p>
        </w:tc>
        <w:tc>
          <w:tcPr>
            <w:tcW w:w="934" w:type="pct"/>
            <w:vAlign w:val="center"/>
            <w:hideMark/>
          </w:tcPr>
          <w:p w14:paraId="7D18CEDC"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Escasez de programas.</w:t>
            </w:r>
          </w:p>
          <w:p w14:paraId="3BC4BEFD"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Cultura del “rebusque”.</w:t>
            </w:r>
          </w:p>
          <w:p w14:paraId="05DFCD80"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Foco en autoaprendizaje informal</w:t>
            </w:r>
          </w:p>
        </w:tc>
        <w:tc>
          <w:tcPr>
            <w:tcW w:w="899" w:type="pct"/>
            <w:vAlign w:val="center"/>
            <w:hideMark/>
          </w:tcPr>
          <w:p w14:paraId="75DB55F4"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highlight w:val="yellow"/>
                <w:lang w:eastAsia="es-CO"/>
              </w:rPr>
            </w:pPr>
            <w:r w:rsidRPr="00182E8C">
              <w:rPr>
                <w:rFonts w:ascii="Times New Roman" w:hAnsi="Times New Roman"/>
                <w:sz w:val="16"/>
                <w:szCs w:val="16"/>
              </w:rPr>
              <w:t>(Comisión Regional de Competitividad de Santander, 2018; Consejo Privado de Competitividad &amp; COTELCO, 2023; Consejo Privado de Competitividad &amp; COTELCO, 2024)</w:t>
            </w:r>
          </w:p>
        </w:tc>
      </w:tr>
      <w:tr w:rsidR="00101059" w:rsidRPr="005A1098" w14:paraId="6BD6CA41" w14:textId="77777777" w:rsidTr="00831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2" w:type="pct"/>
            <w:vAlign w:val="center"/>
            <w:hideMark/>
          </w:tcPr>
          <w:p w14:paraId="3751D690" w14:textId="77777777" w:rsidR="00101059" w:rsidRPr="00101059" w:rsidRDefault="00101059" w:rsidP="00831F13">
            <w:pPr>
              <w:spacing w:line="240" w:lineRule="auto"/>
              <w:ind w:firstLine="0"/>
              <w:jc w:val="left"/>
              <w:rPr>
                <w:rFonts w:ascii="Times New Roman" w:eastAsia="Times New Roman" w:hAnsi="Times New Roman"/>
                <w:b w:val="0"/>
                <w:bCs w:val="0"/>
                <w:sz w:val="16"/>
                <w:szCs w:val="16"/>
                <w:lang w:eastAsia="es-CO"/>
              </w:rPr>
            </w:pPr>
            <w:r w:rsidRPr="00101059">
              <w:rPr>
                <w:rFonts w:ascii="Times New Roman" w:eastAsia="Times New Roman" w:hAnsi="Times New Roman"/>
                <w:b w:val="0"/>
                <w:bCs w:val="0"/>
                <w:sz w:val="16"/>
                <w:szCs w:val="16"/>
                <w:lang w:eastAsia="es-CO"/>
              </w:rPr>
              <w:t>Asociatividad y redes (clúster)</w:t>
            </w:r>
          </w:p>
        </w:tc>
        <w:tc>
          <w:tcPr>
            <w:tcW w:w="991" w:type="pct"/>
            <w:vAlign w:val="center"/>
            <w:hideMark/>
          </w:tcPr>
          <w:p w14:paraId="59A134D8"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Tejido fragmentado, microempresas con baja cooperación</w:t>
            </w:r>
          </w:p>
        </w:tc>
        <w:tc>
          <w:tcPr>
            <w:tcW w:w="733" w:type="pct"/>
            <w:vAlign w:val="center"/>
            <w:hideMark/>
          </w:tcPr>
          <w:p w14:paraId="187516D7"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Sin redes, mayores costos individuales de cumplir y vender</w:t>
            </w:r>
          </w:p>
        </w:tc>
        <w:tc>
          <w:tcPr>
            <w:tcW w:w="761" w:type="pct"/>
            <w:vAlign w:val="center"/>
            <w:hideMark/>
          </w:tcPr>
          <w:p w14:paraId="5EF9FDCF"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Alta informalidad del sector.</w:t>
            </w:r>
          </w:p>
        </w:tc>
        <w:tc>
          <w:tcPr>
            <w:tcW w:w="934" w:type="pct"/>
            <w:vAlign w:val="center"/>
            <w:hideMark/>
          </w:tcPr>
          <w:p w14:paraId="378AE7E2"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Falta de incentivos y articuladores.</w:t>
            </w:r>
          </w:p>
        </w:tc>
        <w:tc>
          <w:tcPr>
            <w:tcW w:w="899" w:type="pct"/>
            <w:vAlign w:val="center"/>
            <w:hideMark/>
          </w:tcPr>
          <w:p w14:paraId="66EEA257"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highlight w:val="yellow"/>
                <w:lang w:eastAsia="es-CO"/>
              </w:rPr>
            </w:pPr>
            <w:r w:rsidRPr="005A1098">
              <w:rPr>
                <w:rFonts w:ascii="Times New Roman" w:hAnsi="Times New Roman"/>
                <w:sz w:val="16"/>
                <w:szCs w:val="16"/>
              </w:rPr>
              <w:t>(Comisión Regional de Competitividad de Santander, 2018)</w:t>
            </w:r>
          </w:p>
        </w:tc>
      </w:tr>
      <w:tr w:rsidR="00101059" w:rsidRPr="005A1098" w14:paraId="1F023173" w14:textId="77777777" w:rsidTr="00831F13">
        <w:tc>
          <w:tcPr>
            <w:cnfStyle w:val="001000000000" w:firstRow="0" w:lastRow="0" w:firstColumn="1" w:lastColumn="0" w:oddVBand="0" w:evenVBand="0" w:oddHBand="0" w:evenHBand="0" w:firstRowFirstColumn="0" w:firstRowLastColumn="0" w:lastRowFirstColumn="0" w:lastRowLastColumn="0"/>
            <w:tcW w:w="682" w:type="pct"/>
            <w:vAlign w:val="center"/>
            <w:hideMark/>
          </w:tcPr>
          <w:p w14:paraId="2A1A19F9" w14:textId="77777777" w:rsidR="00101059" w:rsidRPr="00101059" w:rsidRDefault="00101059" w:rsidP="00831F13">
            <w:pPr>
              <w:spacing w:line="240" w:lineRule="auto"/>
              <w:ind w:firstLine="0"/>
              <w:jc w:val="left"/>
              <w:rPr>
                <w:rFonts w:ascii="Times New Roman" w:eastAsia="Times New Roman" w:hAnsi="Times New Roman"/>
                <w:b w:val="0"/>
                <w:bCs w:val="0"/>
                <w:sz w:val="16"/>
                <w:szCs w:val="16"/>
                <w:lang w:eastAsia="es-CO"/>
              </w:rPr>
            </w:pPr>
            <w:r w:rsidRPr="00101059">
              <w:rPr>
                <w:rFonts w:ascii="Times New Roman" w:eastAsia="Times New Roman" w:hAnsi="Times New Roman"/>
                <w:b w:val="0"/>
                <w:bCs w:val="0"/>
                <w:sz w:val="16"/>
                <w:szCs w:val="16"/>
                <w:lang w:eastAsia="es-CO"/>
              </w:rPr>
              <w:t>Confianza institucional</w:t>
            </w:r>
          </w:p>
        </w:tc>
        <w:tc>
          <w:tcPr>
            <w:tcW w:w="991" w:type="pct"/>
            <w:vAlign w:val="center"/>
            <w:hideMark/>
          </w:tcPr>
          <w:p w14:paraId="466330C3"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Percepción de fiscalización sin acompañamiento.</w:t>
            </w:r>
          </w:p>
          <w:p w14:paraId="6652715E"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Temor a sanciones</w:t>
            </w:r>
          </w:p>
        </w:tc>
        <w:tc>
          <w:tcPr>
            <w:tcW w:w="733" w:type="pct"/>
            <w:vAlign w:val="center"/>
            <w:hideMark/>
          </w:tcPr>
          <w:p w14:paraId="03D41CC3"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Se pospone formalizar “para evitar problemas”</w:t>
            </w:r>
          </w:p>
        </w:tc>
        <w:tc>
          <w:tcPr>
            <w:tcW w:w="761" w:type="pct"/>
            <w:vAlign w:val="center"/>
            <w:hideMark/>
          </w:tcPr>
          <w:p w14:paraId="7B6010BF"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Testimonios gremiales.</w:t>
            </w:r>
          </w:p>
          <w:p w14:paraId="2F6F5A29"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xml:space="preserve">- Alta informalidad del sector. </w:t>
            </w:r>
          </w:p>
        </w:tc>
        <w:tc>
          <w:tcPr>
            <w:tcW w:w="934" w:type="pct"/>
            <w:vAlign w:val="center"/>
            <w:hideMark/>
          </w:tcPr>
          <w:p w14:paraId="5DE2AA97"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Déficit de “ventanilla amiga” o apoyos sencillos para formalizar, guías paso a paso y similares.</w:t>
            </w:r>
          </w:p>
        </w:tc>
        <w:tc>
          <w:tcPr>
            <w:tcW w:w="899" w:type="pct"/>
            <w:vAlign w:val="center"/>
            <w:hideMark/>
          </w:tcPr>
          <w:p w14:paraId="5BB73892"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highlight w:val="yellow"/>
                <w:lang w:eastAsia="es-CO"/>
              </w:rPr>
            </w:pPr>
            <w:r w:rsidRPr="00182E8C">
              <w:rPr>
                <w:rFonts w:ascii="Times New Roman" w:hAnsi="Times New Roman"/>
                <w:sz w:val="16"/>
                <w:szCs w:val="16"/>
              </w:rPr>
              <w:t xml:space="preserve">(Ministerio de Comercio, Industria y Turismo &amp; Fondo Nacional de Turismo, </w:t>
            </w:r>
            <w:r>
              <w:rPr>
                <w:rFonts w:ascii="Times New Roman" w:hAnsi="Times New Roman"/>
                <w:sz w:val="16"/>
                <w:szCs w:val="16"/>
              </w:rPr>
              <w:t>2025</w:t>
            </w:r>
            <w:r w:rsidRPr="00182E8C">
              <w:rPr>
                <w:rFonts w:ascii="Times New Roman" w:hAnsi="Times New Roman"/>
                <w:sz w:val="16"/>
                <w:szCs w:val="16"/>
              </w:rPr>
              <w:t>)</w:t>
            </w:r>
          </w:p>
        </w:tc>
      </w:tr>
      <w:tr w:rsidR="00101059" w:rsidRPr="005A1098" w14:paraId="54DFC963" w14:textId="77777777" w:rsidTr="00831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2" w:type="pct"/>
            <w:vAlign w:val="center"/>
            <w:hideMark/>
          </w:tcPr>
          <w:p w14:paraId="322FDEA5" w14:textId="77777777" w:rsidR="00101059" w:rsidRPr="00101059" w:rsidRDefault="00101059" w:rsidP="00831F13">
            <w:pPr>
              <w:spacing w:line="240" w:lineRule="auto"/>
              <w:ind w:firstLine="0"/>
              <w:jc w:val="left"/>
              <w:rPr>
                <w:rFonts w:ascii="Times New Roman" w:eastAsia="Times New Roman" w:hAnsi="Times New Roman"/>
                <w:b w:val="0"/>
                <w:bCs w:val="0"/>
                <w:sz w:val="16"/>
                <w:szCs w:val="16"/>
                <w:lang w:eastAsia="es-CO"/>
              </w:rPr>
            </w:pPr>
            <w:r w:rsidRPr="00101059">
              <w:rPr>
                <w:rFonts w:ascii="Times New Roman" w:eastAsia="Times New Roman" w:hAnsi="Times New Roman"/>
                <w:b w:val="0"/>
                <w:bCs w:val="0"/>
                <w:sz w:val="16"/>
                <w:szCs w:val="16"/>
                <w:lang w:eastAsia="es-CO"/>
              </w:rPr>
              <w:t>Calidad y certificaciones</w:t>
            </w:r>
          </w:p>
        </w:tc>
        <w:tc>
          <w:tcPr>
            <w:tcW w:w="991" w:type="pct"/>
            <w:vAlign w:val="center"/>
            <w:hideMark/>
          </w:tcPr>
          <w:p w14:paraId="717D3FEC"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Baja adopción de registro de RUNT, sellos de calidad, estándares, entre otros.</w:t>
            </w:r>
          </w:p>
        </w:tc>
        <w:tc>
          <w:tcPr>
            <w:tcW w:w="733" w:type="pct"/>
            <w:vAlign w:val="center"/>
            <w:hideMark/>
          </w:tcPr>
          <w:p w14:paraId="6D0A34B9"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Menor diferenciación de la oferta formal; reputación heterogénea</w:t>
            </w:r>
          </w:p>
        </w:tc>
        <w:tc>
          <w:tcPr>
            <w:tcW w:w="761" w:type="pct"/>
            <w:vAlign w:val="center"/>
            <w:hideMark/>
          </w:tcPr>
          <w:p w14:paraId="3B957DF1"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Comparado: regiones con &gt;9% sellos vs Santander &lt;1%</w:t>
            </w:r>
          </w:p>
        </w:tc>
        <w:tc>
          <w:tcPr>
            <w:tcW w:w="934" w:type="pct"/>
            <w:vAlign w:val="center"/>
            <w:hideMark/>
          </w:tcPr>
          <w:p w14:paraId="710D4D35"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Costos y desconocimiento del valor.</w:t>
            </w:r>
          </w:p>
          <w:p w14:paraId="2657CF1C"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Analfabetismo digital en algunos casos, o resistencia variada al cambio en otros.</w:t>
            </w:r>
          </w:p>
        </w:tc>
        <w:tc>
          <w:tcPr>
            <w:tcW w:w="899" w:type="pct"/>
            <w:vAlign w:val="center"/>
            <w:hideMark/>
          </w:tcPr>
          <w:p w14:paraId="11B12B88"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highlight w:val="yellow"/>
                <w:lang w:eastAsia="es-CO"/>
              </w:rPr>
            </w:pPr>
            <w:r w:rsidRPr="005A1098">
              <w:rPr>
                <w:rFonts w:ascii="Times New Roman" w:hAnsi="Times New Roman"/>
                <w:sz w:val="16"/>
                <w:szCs w:val="16"/>
              </w:rPr>
              <w:t>(Comisión Regional de Competitividad de Santander, 2023)</w:t>
            </w:r>
          </w:p>
        </w:tc>
      </w:tr>
    </w:tbl>
    <w:p w14:paraId="283DB1A9" w14:textId="77777777" w:rsidR="00101059" w:rsidRDefault="00101059" w:rsidP="00101059">
      <w:pPr>
        <w:pStyle w:val="FigyTablas"/>
      </w:pPr>
    </w:p>
    <w:p w14:paraId="61D559F0" w14:textId="77777777" w:rsidR="00101059" w:rsidRPr="00AC4345" w:rsidRDefault="00101059" w:rsidP="005A45A4">
      <w:pPr>
        <w:pStyle w:val="Ttulo3"/>
      </w:pPr>
      <w:bookmarkStart w:id="38" w:name="_Toc218596639"/>
      <w:r w:rsidRPr="00AC4345">
        <w:t>Factores Económicos Subyac</w:t>
      </w:r>
      <w:r>
        <w:t xml:space="preserve">entes Identificados que Inciden en la </w:t>
      </w:r>
      <w:r w:rsidRPr="00AC4345">
        <w:t>Informalidad Empresarial</w:t>
      </w:r>
      <w:bookmarkEnd w:id="38"/>
    </w:p>
    <w:p w14:paraId="50E83935" w14:textId="77777777" w:rsidR="00101059" w:rsidRDefault="00101059" w:rsidP="001706FD">
      <w:pPr>
        <w:pStyle w:val="Sinespaciado"/>
        <w:spacing w:line="360" w:lineRule="auto"/>
      </w:pPr>
      <w:r>
        <w:t>Finalmente, l</w:t>
      </w:r>
      <w:r w:rsidRPr="00AC4345">
        <w:t xml:space="preserve">a lógica económica del ecosistema local </w:t>
      </w:r>
      <w:r>
        <w:t>(</w:t>
      </w:r>
      <w:r w:rsidRPr="00AC4345">
        <w:t xml:space="preserve">microempresarial, estacional y </w:t>
      </w:r>
      <w:r>
        <w:t>en constante crecimiento)</w:t>
      </w:r>
      <w:r w:rsidRPr="00AC4345">
        <w:t xml:space="preserve"> configura fuertes </w:t>
      </w:r>
      <w:r w:rsidRPr="00AC4345">
        <w:rPr>
          <w:rStyle w:val="Textoennegrita"/>
          <w:b w:val="0"/>
          <w:bCs/>
        </w:rPr>
        <w:t>incentivos a la informalidad</w:t>
      </w:r>
      <w:r w:rsidRPr="00AC4345">
        <w:t xml:space="preserve">. </w:t>
      </w:r>
      <w:r>
        <w:t xml:space="preserve">EN un entorno tan altamente adaptable, incierto y variable como el de las </w:t>
      </w:r>
      <w:proofErr w:type="spellStart"/>
      <w:r>
        <w:t>Mipymes</w:t>
      </w:r>
      <w:proofErr w:type="spellEnd"/>
      <w:r>
        <w:t xml:space="preserve">, es consecuente su relevancia y dispersión. Ante </w:t>
      </w:r>
      <w:r w:rsidRPr="00AC4345">
        <w:t xml:space="preserve">márgenes ajustados, costos fijos de cumplimiento y ciclos de demanda irregulares, </w:t>
      </w:r>
      <w:r>
        <w:t xml:space="preserve">es previsible que </w:t>
      </w:r>
      <w:r w:rsidRPr="00AC4345">
        <w:t xml:space="preserve">parte del </w:t>
      </w:r>
      <w:r>
        <w:t>sector</w:t>
      </w:r>
      <w:r w:rsidRPr="00AC4345">
        <w:t xml:space="preserve"> opt</w:t>
      </w:r>
      <w:r>
        <w:t>e</w:t>
      </w:r>
      <w:r w:rsidRPr="00AC4345">
        <w:t xml:space="preserve"> por </w:t>
      </w:r>
      <w:r w:rsidRPr="00AC4345">
        <w:rPr>
          <w:rStyle w:val="Textoennegrita"/>
          <w:b w:val="0"/>
          <w:bCs/>
        </w:rPr>
        <w:t>evitar cargas</w:t>
      </w:r>
      <w:r w:rsidRPr="00AC4345">
        <w:t xml:space="preserve"> (impuestos, aportes, licencias) o aplazar la formalización. </w:t>
      </w:r>
      <w:r>
        <w:t>No es que esta sea la alternativa más viable, pero sí las esperable de acuerdo al contexto planteado. Además, la incursión de nuevas alternativas no reguladas tales como l</w:t>
      </w:r>
      <w:r w:rsidRPr="00AC4345">
        <w:t xml:space="preserve">a </w:t>
      </w:r>
      <w:r w:rsidRPr="00AC4345">
        <w:rPr>
          <w:rStyle w:val="Textoennegrita"/>
          <w:b w:val="0"/>
          <w:bCs/>
        </w:rPr>
        <w:t>competencia vía plataformas</w:t>
      </w:r>
      <w:r w:rsidRPr="00AC4345">
        <w:t xml:space="preserve"> (alojamiento, experiencias) </w:t>
      </w:r>
      <w:r>
        <w:t xml:space="preserve">o la facilidad de exposición actual </w:t>
      </w:r>
      <w:r>
        <w:lastRenderedPageBreak/>
        <w:t xml:space="preserve">directamente con el cliente final con el uso de redes sociales </w:t>
      </w:r>
      <w:r w:rsidRPr="00AC4345">
        <w:t xml:space="preserve">reduce aún más la rentabilidad de la oferta formal. </w:t>
      </w:r>
      <w:r>
        <w:t>Bajo esto, e</w:t>
      </w:r>
      <w:r w:rsidRPr="00AC4345">
        <w:t>n coyunturas de desaceleración del turismo o costos operativos altos, la formalidad se resiente.</w:t>
      </w:r>
    </w:p>
    <w:p w14:paraId="77E78B1B" w14:textId="20CAE6C0" w:rsidR="00101059" w:rsidRPr="00AC4345" w:rsidRDefault="00101059" w:rsidP="00101059">
      <w:pPr>
        <w:pStyle w:val="Descripcin"/>
        <w:spacing w:line="360" w:lineRule="auto"/>
        <w:rPr>
          <w:b w:val="0"/>
          <w:bCs w:val="0"/>
          <w:i/>
          <w:iCs/>
        </w:rPr>
      </w:pPr>
      <w:bookmarkStart w:id="39" w:name="_Toc218529131"/>
      <w:r w:rsidRPr="008B1887">
        <w:t xml:space="preserve">Tabla </w:t>
      </w:r>
      <w:r w:rsidR="00084DA0">
        <w:fldChar w:fldCharType="begin"/>
      </w:r>
      <w:r w:rsidR="00084DA0">
        <w:instrText xml:space="preserve"> SEQ Tabla \* ARABIC </w:instrText>
      </w:r>
      <w:r w:rsidR="00084DA0">
        <w:fldChar w:fldCharType="separate"/>
      </w:r>
      <w:r w:rsidR="005A45A4">
        <w:rPr>
          <w:noProof/>
        </w:rPr>
        <w:t>7</w:t>
      </w:r>
      <w:r w:rsidR="00084DA0">
        <w:rPr>
          <w:noProof/>
        </w:rPr>
        <w:fldChar w:fldCharType="end"/>
      </w:r>
      <w:r w:rsidRPr="008B1887">
        <w:t xml:space="preserve">. </w:t>
      </w:r>
      <w:r>
        <w:br/>
      </w:r>
      <w:r w:rsidRPr="00AC4345">
        <w:rPr>
          <w:b w:val="0"/>
          <w:bCs w:val="0"/>
          <w:i/>
          <w:iCs/>
        </w:rPr>
        <w:t>Factores económicos y efectos sobre formalización y competitividad</w:t>
      </w:r>
      <w:bookmarkEnd w:id="39"/>
    </w:p>
    <w:tbl>
      <w:tblPr>
        <w:tblStyle w:val="Tabladelista6concolores1"/>
        <w:tblW w:w="0" w:type="auto"/>
        <w:tblLook w:val="04A0" w:firstRow="1" w:lastRow="0" w:firstColumn="1" w:lastColumn="0" w:noHBand="0" w:noVBand="1"/>
      </w:tblPr>
      <w:tblGrid>
        <w:gridCol w:w="1610"/>
        <w:gridCol w:w="1820"/>
        <w:gridCol w:w="2105"/>
        <w:gridCol w:w="2338"/>
        <w:gridCol w:w="1487"/>
      </w:tblGrid>
      <w:tr w:rsidR="00101059" w:rsidRPr="005A1098" w14:paraId="598538AA" w14:textId="77777777" w:rsidTr="00831F1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00000"/>
              <w:bottom w:val="single" w:sz="4" w:space="0" w:color="auto"/>
            </w:tcBorders>
            <w:vAlign w:val="center"/>
            <w:hideMark/>
          </w:tcPr>
          <w:p w14:paraId="08D07762" w14:textId="77777777" w:rsidR="00101059" w:rsidRPr="005A1098" w:rsidRDefault="00101059" w:rsidP="00831F13">
            <w:pPr>
              <w:spacing w:line="240" w:lineRule="auto"/>
              <w:ind w:firstLine="0"/>
              <w:jc w:val="center"/>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Factor económico</w:t>
            </w:r>
          </w:p>
        </w:tc>
        <w:tc>
          <w:tcPr>
            <w:tcW w:w="0" w:type="auto"/>
            <w:tcBorders>
              <w:top w:val="single" w:sz="4" w:space="0" w:color="000000"/>
              <w:bottom w:val="single" w:sz="4" w:space="0" w:color="auto"/>
            </w:tcBorders>
            <w:vAlign w:val="center"/>
            <w:hideMark/>
          </w:tcPr>
          <w:p w14:paraId="4080A5B8" w14:textId="77777777" w:rsidR="00101059" w:rsidRPr="005A1098"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Evidencia en Santander</w:t>
            </w:r>
          </w:p>
        </w:tc>
        <w:tc>
          <w:tcPr>
            <w:tcW w:w="0" w:type="auto"/>
            <w:tcBorders>
              <w:top w:val="single" w:sz="4" w:space="0" w:color="000000"/>
              <w:bottom w:val="single" w:sz="4" w:space="0" w:color="auto"/>
            </w:tcBorders>
            <w:vAlign w:val="center"/>
            <w:hideMark/>
          </w:tcPr>
          <w:p w14:paraId="226269C0" w14:textId="77777777" w:rsidR="00101059" w:rsidRPr="005A1098"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Mecanismo que (des)incentiva la formalidad</w:t>
            </w:r>
          </w:p>
        </w:tc>
        <w:tc>
          <w:tcPr>
            <w:tcW w:w="0" w:type="auto"/>
            <w:tcBorders>
              <w:top w:val="single" w:sz="4" w:space="0" w:color="000000"/>
              <w:bottom w:val="single" w:sz="4" w:space="0" w:color="auto"/>
            </w:tcBorders>
            <w:vAlign w:val="center"/>
            <w:hideMark/>
          </w:tcPr>
          <w:p w14:paraId="347F9F6D" w14:textId="77777777" w:rsidR="00101059" w:rsidRPr="005A1098"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Impacto en competitividad</w:t>
            </w:r>
          </w:p>
        </w:tc>
        <w:tc>
          <w:tcPr>
            <w:tcW w:w="0" w:type="auto"/>
            <w:tcBorders>
              <w:top w:val="single" w:sz="4" w:space="0" w:color="000000"/>
              <w:bottom w:val="single" w:sz="4" w:space="0" w:color="auto"/>
            </w:tcBorders>
            <w:vAlign w:val="center"/>
            <w:hideMark/>
          </w:tcPr>
          <w:p w14:paraId="1F13E6AD" w14:textId="77777777" w:rsidR="00101059" w:rsidRPr="005A1098"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6"/>
                <w:szCs w:val="16"/>
                <w:highlight w:val="yellow"/>
                <w:lang w:eastAsia="es-CO"/>
              </w:rPr>
            </w:pPr>
            <w:r w:rsidRPr="005A1098">
              <w:rPr>
                <w:rFonts w:ascii="Times New Roman" w:eastAsia="Times New Roman" w:hAnsi="Times New Roman"/>
                <w:sz w:val="16"/>
                <w:szCs w:val="16"/>
                <w:lang w:eastAsia="es-CO"/>
              </w:rPr>
              <w:t>Fuente base</w:t>
            </w:r>
          </w:p>
        </w:tc>
      </w:tr>
      <w:tr w:rsidR="00101059" w:rsidRPr="005A1098" w14:paraId="2462387F" w14:textId="77777777" w:rsidTr="00831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bottom w:val="nil"/>
            </w:tcBorders>
            <w:vAlign w:val="center"/>
            <w:hideMark/>
          </w:tcPr>
          <w:p w14:paraId="66DBA5FA" w14:textId="77777777" w:rsidR="00101059" w:rsidRPr="005A1098" w:rsidRDefault="00101059" w:rsidP="00831F13">
            <w:pPr>
              <w:spacing w:line="240" w:lineRule="auto"/>
              <w:ind w:firstLine="0"/>
              <w:jc w:val="left"/>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Estructura microempresarial</w:t>
            </w:r>
          </w:p>
        </w:tc>
        <w:tc>
          <w:tcPr>
            <w:tcW w:w="0" w:type="auto"/>
            <w:tcBorders>
              <w:top w:val="single" w:sz="4" w:space="0" w:color="auto"/>
              <w:bottom w:val="nil"/>
            </w:tcBorders>
            <w:vAlign w:val="center"/>
            <w:hideMark/>
          </w:tcPr>
          <w:p w14:paraId="137B47F5"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9.604 empresas turísticas (2024), +3,1% vs 2023; 98,8% MiPymes.</w:t>
            </w:r>
          </w:p>
        </w:tc>
        <w:tc>
          <w:tcPr>
            <w:tcW w:w="0" w:type="auto"/>
            <w:tcBorders>
              <w:top w:val="single" w:sz="4" w:space="0" w:color="auto"/>
              <w:bottom w:val="nil"/>
            </w:tcBorders>
            <w:vAlign w:val="center"/>
            <w:hideMark/>
          </w:tcPr>
          <w:p w14:paraId="7B843733"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xml:space="preserve">Costos fijos de cumplimiento son relativamente altos para </w:t>
            </w:r>
            <w:proofErr w:type="spellStart"/>
            <w:r w:rsidRPr="005A1098">
              <w:rPr>
                <w:rFonts w:ascii="Times New Roman" w:eastAsia="Times New Roman" w:hAnsi="Times New Roman"/>
                <w:sz w:val="16"/>
                <w:szCs w:val="16"/>
                <w:lang w:eastAsia="es-CO"/>
              </w:rPr>
              <w:t>MyPymes</w:t>
            </w:r>
            <w:proofErr w:type="spellEnd"/>
            <w:r w:rsidRPr="005A1098">
              <w:rPr>
                <w:rFonts w:ascii="Times New Roman" w:eastAsia="Times New Roman" w:hAnsi="Times New Roman"/>
                <w:sz w:val="16"/>
                <w:szCs w:val="16"/>
                <w:lang w:eastAsia="es-CO"/>
              </w:rPr>
              <w:t xml:space="preserve"> (bajo márgenes ajustados o políticas de crecimiento inexistentes o poco sólidas).</w:t>
            </w:r>
          </w:p>
        </w:tc>
        <w:tc>
          <w:tcPr>
            <w:tcW w:w="0" w:type="auto"/>
            <w:tcBorders>
              <w:top w:val="single" w:sz="4" w:space="0" w:color="auto"/>
              <w:bottom w:val="nil"/>
            </w:tcBorders>
            <w:vAlign w:val="center"/>
            <w:hideMark/>
          </w:tcPr>
          <w:p w14:paraId="1A469E62"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Baja escala limita adopción de calidad/innovación.</w:t>
            </w:r>
          </w:p>
          <w:p w14:paraId="2236DD03"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Alta fragilidad empresarial debido a su informalidad y tamaño.</w:t>
            </w:r>
          </w:p>
        </w:tc>
        <w:tc>
          <w:tcPr>
            <w:tcW w:w="0" w:type="auto"/>
            <w:tcBorders>
              <w:top w:val="single" w:sz="4" w:space="0" w:color="auto"/>
              <w:bottom w:val="nil"/>
            </w:tcBorders>
            <w:vAlign w:val="center"/>
            <w:hideMark/>
          </w:tcPr>
          <w:p w14:paraId="2DC9738A"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highlight w:val="yellow"/>
                <w:lang w:eastAsia="es-CO"/>
              </w:rPr>
            </w:pPr>
            <w:r w:rsidRPr="005A1098">
              <w:rPr>
                <w:rFonts w:ascii="Times New Roman" w:hAnsi="Times New Roman"/>
                <w:sz w:val="16"/>
                <w:szCs w:val="16"/>
              </w:rPr>
              <w:t>(Cámara de Comercio de Bucaramanga, 2024)</w:t>
            </w:r>
          </w:p>
        </w:tc>
      </w:tr>
      <w:tr w:rsidR="00101059" w:rsidRPr="005A1098" w14:paraId="5BE21DA2" w14:textId="77777777" w:rsidTr="00831F13">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vAlign w:val="center"/>
            <w:hideMark/>
          </w:tcPr>
          <w:p w14:paraId="671E1EED" w14:textId="77777777" w:rsidR="00101059" w:rsidRPr="005A1098" w:rsidRDefault="00101059" w:rsidP="00831F13">
            <w:pPr>
              <w:spacing w:line="240" w:lineRule="auto"/>
              <w:ind w:firstLine="0"/>
              <w:jc w:val="left"/>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Estacionalidad y flujos</w:t>
            </w:r>
          </w:p>
        </w:tc>
        <w:tc>
          <w:tcPr>
            <w:tcW w:w="0" w:type="auto"/>
            <w:tcBorders>
              <w:top w:val="nil"/>
              <w:bottom w:val="nil"/>
            </w:tcBorders>
            <w:vAlign w:val="center"/>
            <w:hideMark/>
          </w:tcPr>
          <w:p w14:paraId="09954C2F"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Picos fin de semana/temporadas.</w:t>
            </w:r>
          </w:p>
          <w:p w14:paraId="3F9851A2"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Altos espacios con baja operación o demanda.</w:t>
            </w:r>
          </w:p>
        </w:tc>
        <w:tc>
          <w:tcPr>
            <w:tcW w:w="0" w:type="auto"/>
            <w:tcBorders>
              <w:top w:val="nil"/>
              <w:bottom w:val="nil"/>
            </w:tcBorders>
            <w:vAlign w:val="center"/>
            <w:hideMark/>
          </w:tcPr>
          <w:p w14:paraId="51809449"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Ingresos irregulares vs obligaciones continuas.</w:t>
            </w:r>
          </w:p>
          <w:p w14:paraId="4CC58597"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xml:space="preserve">- </w:t>
            </w:r>
            <w:proofErr w:type="spellStart"/>
            <w:r w:rsidRPr="005A1098">
              <w:rPr>
                <w:rFonts w:ascii="Times New Roman" w:eastAsia="Times New Roman" w:hAnsi="Times New Roman"/>
                <w:sz w:val="16"/>
                <w:szCs w:val="16"/>
                <w:lang w:eastAsia="es-CO"/>
              </w:rPr>
              <w:t>Idem</w:t>
            </w:r>
            <w:proofErr w:type="spellEnd"/>
            <w:r w:rsidRPr="005A1098">
              <w:rPr>
                <w:rFonts w:ascii="Times New Roman" w:eastAsia="Times New Roman" w:hAnsi="Times New Roman"/>
                <w:sz w:val="16"/>
                <w:szCs w:val="16"/>
                <w:lang w:eastAsia="es-CO"/>
              </w:rPr>
              <w:t xml:space="preserve"> al </w:t>
            </w:r>
            <w:proofErr w:type="spellStart"/>
            <w:r w:rsidRPr="005A1098">
              <w:rPr>
                <w:rFonts w:ascii="Times New Roman" w:eastAsia="Times New Roman" w:hAnsi="Times New Roman"/>
                <w:sz w:val="16"/>
                <w:szCs w:val="16"/>
                <w:lang w:eastAsia="es-CO"/>
              </w:rPr>
              <w:t>Item</w:t>
            </w:r>
            <w:proofErr w:type="spellEnd"/>
            <w:r w:rsidRPr="005A1098">
              <w:rPr>
                <w:rFonts w:ascii="Times New Roman" w:eastAsia="Times New Roman" w:hAnsi="Times New Roman"/>
                <w:sz w:val="16"/>
                <w:szCs w:val="16"/>
                <w:lang w:eastAsia="es-CO"/>
              </w:rPr>
              <w:t xml:space="preserve"> anterior, costos relativamente altos que generan incertidumbre.</w:t>
            </w:r>
          </w:p>
        </w:tc>
        <w:tc>
          <w:tcPr>
            <w:tcW w:w="0" w:type="auto"/>
            <w:tcBorders>
              <w:top w:val="nil"/>
              <w:bottom w:val="nil"/>
            </w:tcBorders>
            <w:vAlign w:val="center"/>
            <w:hideMark/>
          </w:tcPr>
          <w:p w14:paraId="50A2E039"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Volatilidad de empleo e inversión.</w:t>
            </w:r>
          </w:p>
          <w:p w14:paraId="1380D9E7"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xml:space="preserve">Estructura de “Supervivencia”, debido a la limitada previsión estratégica. </w:t>
            </w:r>
          </w:p>
        </w:tc>
        <w:tc>
          <w:tcPr>
            <w:tcW w:w="0" w:type="auto"/>
            <w:tcBorders>
              <w:top w:val="nil"/>
              <w:bottom w:val="nil"/>
            </w:tcBorders>
            <w:vAlign w:val="center"/>
            <w:hideMark/>
          </w:tcPr>
          <w:p w14:paraId="51343BAC"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highlight w:val="yellow"/>
                <w:lang w:eastAsia="es-CO"/>
              </w:rPr>
            </w:pPr>
            <w:r w:rsidRPr="00182E8C">
              <w:rPr>
                <w:rFonts w:ascii="Times New Roman" w:hAnsi="Times New Roman"/>
                <w:sz w:val="16"/>
                <w:szCs w:val="16"/>
              </w:rPr>
              <w:t>(IMCT, 2025a; IMCT, 2025b)</w:t>
            </w:r>
          </w:p>
        </w:tc>
      </w:tr>
      <w:tr w:rsidR="00101059" w:rsidRPr="005A1098" w14:paraId="2767A702" w14:textId="77777777" w:rsidTr="00831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vAlign w:val="center"/>
            <w:hideMark/>
          </w:tcPr>
          <w:p w14:paraId="0C97BC20" w14:textId="77777777" w:rsidR="00101059" w:rsidRPr="005A1098" w:rsidRDefault="00101059" w:rsidP="00831F13">
            <w:pPr>
              <w:spacing w:line="240" w:lineRule="auto"/>
              <w:ind w:firstLine="0"/>
              <w:jc w:val="left"/>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Competencia plataformas y oferta informal</w:t>
            </w:r>
          </w:p>
        </w:tc>
        <w:tc>
          <w:tcPr>
            <w:tcW w:w="0" w:type="auto"/>
            <w:tcBorders>
              <w:top w:val="nil"/>
              <w:bottom w:val="nil"/>
            </w:tcBorders>
            <w:vAlign w:val="center"/>
            <w:hideMark/>
          </w:tcPr>
          <w:p w14:paraId="3418DD29"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Resultados evidenciables en el Análisis de Contenido Digital.</w:t>
            </w:r>
          </w:p>
          <w:p w14:paraId="38E936F3"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&gt;2.150 propiedades en plataformas (2024); 9º lugar nacional</w:t>
            </w:r>
          </w:p>
        </w:tc>
        <w:tc>
          <w:tcPr>
            <w:tcW w:w="0" w:type="auto"/>
            <w:tcBorders>
              <w:top w:val="nil"/>
              <w:bottom w:val="nil"/>
            </w:tcBorders>
            <w:vAlign w:val="center"/>
            <w:hideMark/>
          </w:tcPr>
          <w:p w14:paraId="65EDE5F0"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Precios más bajos sin cargas.</w:t>
            </w:r>
          </w:p>
          <w:p w14:paraId="729B03F9"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Desplazamiento de la demanda.</w:t>
            </w:r>
          </w:p>
        </w:tc>
        <w:tc>
          <w:tcPr>
            <w:tcW w:w="0" w:type="auto"/>
            <w:tcBorders>
              <w:top w:val="nil"/>
              <w:bottom w:val="nil"/>
            </w:tcBorders>
            <w:vAlign w:val="center"/>
            <w:hideMark/>
          </w:tcPr>
          <w:p w14:paraId="3FF454DA"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Menor ocupación formal.</w:t>
            </w:r>
          </w:p>
          <w:p w14:paraId="1B681088"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Destrucción de empleo en cadena.</w:t>
            </w:r>
          </w:p>
        </w:tc>
        <w:tc>
          <w:tcPr>
            <w:tcW w:w="0" w:type="auto"/>
            <w:tcBorders>
              <w:top w:val="nil"/>
              <w:bottom w:val="nil"/>
            </w:tcBorders>
            <w:vAlign w:val="center"/>
            <w:hideMark/>
          </w:tcPr>
          <w:p w14:paraId="024EE303"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highlight w:val="yellow"/>
                <w:lang w:eastAsia="es-CO"/>
              </w:rPr>
            </w:pPr>
            <w:r w:rsidRPr="00182E8C">
              <w:rPr>
                <w:rFonts w:ascii="Times New Roman" w:hAnsi="Times New Roman"/>
                <w:sz w:val="16"/>
                <w:szCs w:val="16"/>
              </w:rPr>
              <w:t>(Consejo Privado de Competitividad &amp; COTELCO, 2024)</w:t>
            </w:r>
          </w:p>
        </w:tc>
      </w:tr>
      <w:tr w:rsidR="00101059" w:rsidRPr="005A1098" w14:paraId="5835822A" w14:textId="77777777" w:rsidTr="00831F13">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vAlign w:val="center"/>
            <w:hideMark/>
          </w:tcPr>
          <w:p w14:paraId="4E7EC50E" w14:textId="77777777" w:rsidR="00101059" w:rsidRPr="005A1098" w:rsidRDefault="00101059" w:rsidP="00831F13">
            <w:pPr>
              <w:spacing w:line="240" w:lineRule="auto"/>
              <w:ind w:firstLine="0"/>
              <w:jc w:val="left"/>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Informalidad en intermediación</w:t>
            </w:r>
          </w:p>
        </w:tc>
        <w:tc>
          <w:tcPr>
            <w:tcW w:w="0" w:type="auto"/>
            <w:tcBorders>
              <w:top w:val="nil"/>
              <w:bottom w:val="nil"/>
            </w:tcBorders>
            <w:vAlign w:val="center"/>
            <w:hideMark/>
          </w:tcPr>
          <w:p w14:paraId="705A85F2"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Informalidad en agencias ~42,6% (referencia ANATO país)</w:t>
            </w:r>
          </w:p>
        </w:tc>
        <w:tc>
          <w:tcPr>
            <w:tcW w:w="0" w:type="auto"/>
            <w:tcBorders>
              <w:top w:val="nil"/>
              <w:bottom w:val="nil"/>
            </w:tcBorders>
            <w:vAlign w:val="center"/>
            <w:hideMark/>
          </w:tcPr>
          <w:p w14:paraId="5BD18947"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Baja barrera de entrada digital para vender tours</w:t>
            </w:r>
          </w:p>
        </w:tc>
        <w:tc>
          <w:tcPr>
            <w:tcW w:w="0" w:type="auto"/>
            <w:tcBorders>
              <w:top w:val="nil"/>
              <w:bottom w:val="nil"/>
            </w:tcBorders>
            <w:vAlign w:val="center"/>
            <w:hideMark/>
          </w:tcPr>
          <w:p w14:paraId="108C4615"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Desintermediación de actores formales.</w:t>
            </w:r>
          </w:p>
          <w:p w14:paraId="70694C92"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Ser formal no presenta (en el sentido comercial) una ventaja estratégica sólida y real frente a oferentes informales con buena estrategia de comunicación.</w:t>
            </w:r>
          </w:p>
        </w:tc>
        <w:tc>
          <w:tcPr>
            <w:tcW w:w="0" w:type="auto"/>
            <w:tcBorders>
              <w:top w:val="nil"/>
              <w:bottom w:val="nil"/>
            </w:tcBorders>
            <w:vAlign w:val="center"/>
            <w:hideMark/>
          </w:tcPr>
          <w:p w14:paraId="12AB7F0B"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highlight w:val="yellow"/>
                <w:lang w:eastAsia="es-CO"/>
              </w:rPr>
            </w:pPr>
            <w:r w:rsidRPr="005A1098">
              <w:rPr>
                <w:rFonts w:ascii="Times New Roman" w:hAnsi="Times New Roman"/>
                <w:sz w:val="16"/>
                <w:szCs w:val="16"/>
              </w:rPr>
              <w:t>(</w:t>
            </w:r>
            <w:proofErr w:type="spellStart"/>
            <w:r w:rsidRPr="005A1098">
              <w:rPr>
                <w:rFonts w:ascii="Times New Roman" w:hAnsi="Times New Roman"/>
                <w:sz w:val="16"/>
                <w:szCs w:val="16"/>
              </w:rPr>
              <w:t>AmCham</w:t>
            </w:r>
            <w:proofErr w:type="spellEnd"/>
            <w:r w:rsidRPr="005A1098">
              <w:rPr>
                <w:rFonts w:ascii="Times New Roman" w:hAnsi="Times New Roman"/>
                <w:sz w:val="16"/>
                <w:szCs w:val="16"/>
              </w:rPr>
              <w:t xml:space="preserve"> Colombia, 2017)</w:t>
            </w:r>
          </w:p>
        </w:tc>
      </w:tr>
      <w:tr w:rsidR="00101059" w:rsidRPr="005A1098" w14:paraId="31595D28" w14:textId="77777777" w:rsidTr="00831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single" w:sz="4" w:space="0" w:color="auto"/>
            </w:tcBorders>
            <w:vAlign w:val="center"/>
            <w:hideMark/>
          </w:tcPr>
          <w:p w14:paraId="17CF75CE" w14:textId="77777777" w:rsidR="00101059" w:rsidRPr="005A1098" w:rsidRDefault="00101059" w:rsidP="00831F13">
            <w:pPr>
              <w:spacing w:line="240" w:lineRule="auto"/>
              <w:ind w:firstLine="0"/>
              <w:jc w:val="left"/>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Coyuntura macro y costos</w:t>
            </w:r>
          </w:p>
        </w:tc>
        <w:tc>
          <w:tcPr>
            <w:tcW w:w="0" w:type="auto"/>
            <w:tcBorders>
              <w:top w:val="nil"/>
              <w:bottom w:val="single" w:sz="4" w:space="0" w:color="auto"/>
            </w:tcBorders>
            <w:vAlign w:val="center"/>
            <w:hideMark/>
          </w:tcPr>
          <w:p w14:paraId="0CE70C92"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Menos turistas nacionales 2023–2024.</w:t>
            </w:r>
          </w:p>
          <w:p w14:paraId="16DA0160"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2025: ingresos reales por alojamiento −5,2% (Ene-Abr).</w:t>
            </w:r>
          </w:p>
          <w:p w14:paraId="44738C87"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empleo −3,8%.</w:t>
            </w:r>
          </w:p>
        </w:tc>
        <w:tc>
          <w:tcPr>
            <w:tcW w:w="0" w:type="auto"/>
            <w:tcBorders>
              <w:top w:val="nil"/>
              <w:bottom w:val="single" w:sz="4" w:space="0" w:color="auto"/>
            </w:tcBorders>
            <w:vAlign w:val="center"/>
            <w:hideMark/>
          </w:tcPr>
          <w:p w14:paraId="1FE2E9EA"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Menor rentabilidad reduce capacidad de cumplir</w:t>
            </w:r>
          </w:p>
        </w:tc>
        <w:tc>
          <w:tcPr>
            <w:tcW w:w="0" w:type="auto"/>
            <w:tcBorders>
              <w:top w:val="nil"/>
              <w:bottom w:val="single" w:sz="4" w:space="0" w:color="auto"/>
            </w:tcBorders>
            <w:vAlign w:val="center"/>
            <w:hideMark/>
          </w:tcPr>
          <w:p w14:paraId="5F348BCD"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Retrocesos en indicadores de calidad y empleo</w:t>
            </w:r>
          </w:p>
        </w:tc>
        <w:tc>
          <w:tcPr>
            <w:tcW w:w="0" w:type="auto"/>
            <w:tcBorders>
              <w:top w:val="nil"/>
              <w:bottom w:val="single" w:sz="4" w:space="0" w:color="auto"/>
            </w:tcBorders>
            <w:vAlign w:val="center"/>
            <w:hideMark/>
          </w:tcPr>
          <w:p w14:paraId="7DE4107C"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highlight w:val="yellow"/>
                <w:lang w:eastAsia="es-CO"/>
              </w:rPr>
            </w:pPr>
            <w:r w:rsidRPr="00182E8C">
              <w:rPr>
                <w:rFonts w:ascii="Times New Roman" w:hAnsi="Times New Roman"/>
                <w:sz w:val="16"/>
                <w:szCs w:val="16"/>
              </w:rPr>
              <w:t>(IMCT, 2025a; IMCT, 2025b)</w:t>
            </w:r>
          </w:p>
        </w:tc>
      </w:tr>
    </w:tbl>
    <w:p w14:paraId="4C57A7F7" w14:textId="77777777" w:rsidR="00101059" w:rsidRPr="00D61311" w:rsidRDefault="00101059" w:rsidP="005A45A4">
      <w:pPr>
        <w:pStyle w:val="Ttulo3"/>
      </w:pPr>
      <w:bookmarkStart w:id="40" w:name="_Toc218596640"/>
      <w:r w:rsidRPr="00D61311">
        <w:t>Impactos de la baja formalización en la competitividad regional</w:t>
      </w:r>
      <w:bookmarkEnd w:id="40"/>
    </w:p>
    <w:p w14:paraId="59D37FCD" w14:textId="77777777" w:rsidR="00101059" w:rsidRDefault="00101059" w:rsidP="001706FD">
      <w:pPr>
        <w:pStyle w:val="Sinespaciado"/>
        <w:spacing w:line="360" w:lineRule="auto"/>
      </w:pPr>
      <w:r w:rsidRPr="00D61311">
        <w:t>La informalidad turística en Santander no es un fenómeno aislado</w:t>
      </w:r>
      <w:r>
        <w:t>, repercute en la</w:t>
      </w:r>
      <w:r w:rsidRPr="00D61311">
        <w:t xml:space="preserve"> lectura estadística del sector, deprime indicadores de competitividad, deteriora la calidad y sostenibilidad de la oferta, reduce el recaudo y restringe la inversión pública y privada. Además, precariza el empleo y debilita los encadenamientos productivos y la marca-destino</w:t>
      </w:r>
      <w:r>
        <w:t xml:space="preserve"> (Hall, 2008).</w:t>
      </w:r>
    </w:p>
    <w:p w14:paraId="21DAC9D8" w14:textId="77777777" w:rsidR="00101059" w:rsidRDefault="00101059" w:rsidP="001706FD">
      <w:pPr>
        <w:pStyle w:val="Sinespaciado"/>
        <w:spacing w:line="360" w:lineRule="auto"/>
      </w:pPr>
      <w:r w:rsidRPr="00D61311">
        <w:t>Los efectos operan mediante bucles de retroalimentación</w:t>
      </w:r>
      <w:r>
        <w:t xml:space="preserve"> ya que, a </w:t>
      </w:r>
      <w:r w:rsidRPr="00D61311">
        <w:t>meno</w:t>
      </w:r>
      <w:r>
        <w:t>r</w:t>
      </w:r>
      <w:r w:rsidRPr="00D61311">
        <w:t xml:space="preserve"> formalidad</w:t>
      </w:r>
      <w:r>
        <w:t xml:space="preserve">, </w:t>
      </w:r>
      <w:r w:rsidRPr="00D61311">
        <w:t>peor calificación en índices y menor confianza de inversores</w:t>
      </w:r>
      <w:r>
        <w:t xml:space="preserve">, y eso repercute en </w:t>
      </w:r>
      <w:r w:rsidRPr="00D61311">
        <w:t>meno</w:t>
      </w:r>
      <w:r>
        <w:t xml:space="preserve">s </w:t>
      </w:r>
      <w:r w:rsidRPr="00D61311">
        <w:t xml:space="preserve">recursos para promoción, control y capacidades </w:t>
      </w:r>
      <w:r>
        <w:t xml:space="preserve">alimentando el ciclo y manteniendo las </w:t>
      </w:r>
      <w:r w:rsidRPr="00D61311">
        <w:t>prácticas informales</w:t>
      </w:r>
      <w:r>
        <w:t xml:space="preserve"> (Hall, 2008). A continuación, se presenta una tabla resumen con sus impactos:</w:t>
      </w:r>
    </w:p>
    <w:p w14:paraId="617E2C4C" w14:textId="474C3468" w:rsidR="00101059" w:rsidRPr="00D61311" w:rsidRDefault="00101059" w:rsidP="00101059">
      <w:pPr>
        <w:pStyle w:val="Descripcin"/>
        <w:spacing w:line="360" w:lineRule="auto"/>
        <w:rPr>
          <w:b w:val="0"/>
          <w:bCs w:val="0"/>
          <w:i/>
          <w:iCs/>
        </w:rPr>
      </w:pPr>
      <w:bookmarkStart w:id="41" w:name="_Toc218529132"/>
      <w:r w:rsidRPr="008B1887">
        <w:lastRenderedPageBreak/>
        <w:t xml:space="preserve">Tabla </w:t>
      </w:r>
      <w:r w:rsidR="00084DA0">
        <w:fldChar w:fldCharType="begin"/>
      </w:r>
      <w:r w:rsidR="00084DA0">
        <w:instrText xml:space="preserve"> SEQ Tabla \* ARABIC </w:instrText>
      </w:r>
      <w:r w:rsidR="00084DA0">
        <w:fldChar w:fldCharType="separate"/>
      </w:r>
      <w:r w:rsidR="005A45A4">
        <w:rPr>
          <w:noProof/>
        </w:rPr>
        <w:t>8</w:t>
      </w:r>
      <w:r w:rsidR="00084DA0">
        <w:rPr>
          <w:noProof/>
        </w:rPr>
        <w:fldChar w:fldCharType="end"/>
      </w:r>
      <w:r w:rsidRPr="008B1887">
        <w:t xml:space="preserve">. </w:t>
      </w:r>
      <w:r>
        <w:br/>
      </w:r>
      <w:r w:rsidRPr="00D61311">
        <w:rPr>
          <w:b w:val="0"/>
          <w:bCs w:val="0"/>
          <w:i/>
          <w:iCs/>
        </w:rPr>
        <w:t>Impactos de la informalidad sobre la competitividad turística de Santander</w:t>
      </w:r>
      <w:bookmarkEnd w:id="41"/>
    </w:p>
    <w:tbl>
      <w:tblPr>
        <w:tblStyle w:val="Tabladelista6concolores1"/>
        <w:tblW w:w="5000" w:type="pct"/>
        <w:tblLayout w:type="fixed"/>
        <w:tblLook w:val="04A0" w:firstRow="1" w:lastRow="0" w:firstColumn="1" w:lastColumn="0" w:noHBand="0" w:noVBand="1"/>
      </w:tblPr>
      <w:tblGrid>
        <w:gridCol w:w="1251"/>
        <w:gridCol w:w="1445"/>
        <w:gridCol w:w="1415"/>
        <w:gridCol w:w="1277"/>
        <w:gridCol w:w="1275"/>
        <w:gridCol w:w="1138"/>
        <w:gridCol w:w="1559"/>
      </w:tblGrid>
      <w:tr w:rsidR="00101059" w:rsidRPr="005A1098" w14:paraId="09413714" w14:textId="77777777" w:rsidTr="00831F1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8" w:type="pct"/>
            <w:vAlign w:val="center"/>
            <w:hideMark/>
          </w:tcPr>
          <w:p w14:paraId="40764EBA" w14:textId="77777777" w:rsidR="00101059" w:rsidRPr="005A1098" w:rsidRDefault="00101059" w:rsidP="00831F13">
            <w:pPr>
              <w:spacing w:line="240" w:lineRule="auto"/>
              <w:ind w:firstLine="0"/>
              <w:jc w:val="center"/>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Dimensión de competitividad</w:t>
            </w:r>
          </w:p>
        </w:tc>
        <w:tc>
          <w:tcPr>
            <w:tcW w:w="772" w:type="pct"/>
            <w:vAlign w:val="center"/>
            <w:hideMark/>
          </w:tcPr>
          <w:p w14:paraId="15B71DB9" w14:textId="77777777" w:rsidR="00101059" w:rsidRPr="005A1098"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Manifestación del impacto</w:t>
            </w:r>
          </w:p>
        </w:tc>
        <w:tc>
          <w:tcPr>
            <w:tcW w:w="756" w:type="pct"/>
            <w:vAlign w:val="center"/>
            <w:hideMark/>
          </w:tcPr>
          <w:p w14:paraId="2CFC081E" w14:textId="77777777" w:rsidR="00101059" w:rsidRPr="005A1098"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Mecanismo causal desde la informalidad</w:t>
            </w:r>
          </w:p>
        </w:tc>
        <w:tc>
          <w:tcPr>
            <w:tcW w:w="682" w:type="pct"/>
            <w:vAlign w:val="center"/>
            <w:hideMark/>
          </w:tcPr>
          <w:p w14:paraId="5BD02C6E" w14:textId="77777777" w:rsidR="00101059" w:rsidRPr="005A1098"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Evidencia / señales mencionadas</w:t>
            </w:r>
          </w:p>
        </w:tc>
        <w:tc>
          <w:tcPr>
            <w:tcW w:w="681" w:type="pct"/>
            <w:vAlign w:val="center"/>
            <w:hideMark/>
          </w:tcPr>
          <w:p w14:paraId="5C456761" w14:textId="77777777" w:rsidR="00101059" w:rsidRPr="005A1098"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Efecto económico / social</w:t>
            </w:r>
          </w:p>
        </w:tc>
        <w:tc>
          <w:tcPr>
            <w:tcW w:w="608" w:type="pct"/>
            <w:vAlign w:val="center"/>
            <w:hideMark/>
          </w:tcPr>
          <w:p w14:paraId="6D9BD1E5" w14:textId="77777777" w:rsidR="00101059" w:rsidRPr="005A1098"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Riesgo estratégico para Santander</w:t>
            </w:r>
          </w:p>
        </w:tc>
        <w:tc>
          <w:tcPr>
            <w:tcW w:w="833" w:type="pct"/>
            <w:vAlign w:val="center"/>
            <w:hideMark/>
          </w:tcPr>
          <w:p w14:paraId="0DD04058" w14:textId="77777777" w:rsidR="00101059" w:rsidRPr="005A1098"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Fuente base</w:t>
            </w:r>
          </w:p>
        </w:tc>
      </w:tr>
      <w:tr w:rsidR="00101059" w:rsidRPr="005A1098" w14:paraId="6246943E" w14:textId="77777777" w:rsidTr="00831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8" w:type="pct"/>
            <w:vAlign w:val="center"/>
            <w:hideMark/>
          </w:tcPr>
          <w:p w14:paraId="25EABC34" w14:textId="77777777" w:rsidR="00101059" w:rsidRPr="005A1098" w:rsidRDefault="00101059" w:rsidP="00831F13">
            <w:pPr>
              <w:spacing w:line="240" w:lineRule="auto"/>
              <w:ind w:firstLine="0"/>
              <w:jc w:val="left"/>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Desempeño en índices y entorno para negocios</w:t>
            </w:r>
          </w:p>
        </w:tc>
        <w:tc>
          <w:tcPr>
            <w:tcW w:w="772" w:type="pct"/>
            <w:vAlign w:val="center"/>
            <w:hideMark/>
          </w:tcPr>
          <w:p w14:paraId="3942EABC"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Subregistro del aporte del turismo.</w:t>
            </w:r>
          </w:p>
          <w:p w14:paraId="573411F3"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Falta de garantías en la prestación del servicio</w:t>
            </w:r>
          </w:p>
        </w:tc>
        <w:tc>
          <w:tcPr>
            <w:tcW w:w="756" w:type="pct"/>
            <w:vAlign w:val="center"/>
            <w:hideMark/>
          </w:tcPr>
          <w:p w14:paraId="03A18773"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Alto peso de actividad no registrada distorsiona indicadores.</w:t>
            </w:r>
          </w:p>
          <w:p w14:paraId="66D5F707"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Entorno regulatorio percibido como poco favorable</w:t>
            </w:r>
          </w:p>
        </w:tc>
        <w:tc>
          <w:tcPr>
            <w:tcW w:w="682" w:type="pct"/>
            <w:vAlign w:val="center"/>
            <w:hideMark/>
          </w:tcPr>
          <w:p w14:paraId="3972C6D9"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ICTRC 2023: descenso del puesto 6 al 11.</w:t>
            </w:r>
          </w:p>
          <w:p w14:paraId="03433D9D"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Variables críticas negativas.</w:t>
            </w:r>
          </w:p>
          <w:p w14:paraId="459F6E27"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Bajo retorno de contribución parafiscal</w:t>
            </w:r>
          </w:p>
        </w:tc>
        <w:tc>
          <w:tcPr>
            <w:tcW w:w="681" w:type="pct"/>
            <w:vAlign w:val="center"/>
            <w:hideMark/>
          </w:tcPr>
          <w:p w14:paraId="105197E7"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Menor atractivo para inversión.</w:t>
            </w:r>
          </w:p>
          <w:p w14:paraId="253D3935"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Pérdida de comparabilidad favorable con otras regiones</w:t>
            </w:r>
          </w:p>
        </w:tc>
        <w:tc>
          <w:tcPr>
            <w:tcW w:w="608" w:type="pct"/>
            <w:vAlign w:val="center"/>
            <w:hideMark/>
          </w:tcPr>
          <w:p w14:paraId="38C87A40"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Pérdida de posicionamiento frente a destinos competidores</w:t>
            </w:r>
          </w:p>
        </w:tc>
        <w:tc>
          <w:tcPr>
            <w:tcW w:w="833" w:type="pct"/>
            <w:vAlign w:val="center"/>
            <w:hideMark/>
          </w:tcPr>
          <w:p w14:paraId="7E06B479"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highlight w:val="yellow"/>
                <w:lang w:eastAsia="es-CO"/>
              </w:rPr>
            </w:pPr>
            <w:r w:rsidRPr="00182E8C">
              <w:rPr>
                <w:rFonts w:ascii="Times New Roman" w:hAnsi="Times New Roman"/>
                <w:sz w:val="16"/>
                <w:szCs w:val="16"/>
              </w:rPr>
              <w:t>(Consejo Privado de Competitividad &amp; COTELCO, 2023; Consejo Privado de Competitividad &amp; COTELCO, 2024)</w:t>
            </w:r>
          </w:p>
        </w:tc>
      </w:tr>
      <w:tr w:rsidR="00101059" w:rsidRPr="005A1098" w14:paraId="29DEBCB5" w14:textId="77777777" w:rsidTr="00831F13">
        <w:tc>
          <w:tcPr>
            <w:cnfStyle w:val="001000000000" w:firstRow="0" w:lastRow="0" w:firstColumn="1" w:lastColumn="0" w:oddVBand="0" w:evenVBand="0" w:oddHBand="0" w:evenHBand="0" w:firstRowFirstColumn="0" w:firstRowLastColumn="0" w:lastRowFirstColumn="0" w:lastRowLastColumn="0"/>
            <w:tcW w:w="668" w:type="pct"/>
            <w:vAlign w:val="center"/>
            <w:hideMark/>
          </w:tcPr>
          <w:p w14:paraId="48B20C54" w14:textId="77777777" w:rsidR="00101059" w:rsidRPr="005A1098" w:rsidRDefault="00101059" w:rsidP="00831F13">
            <w:pPr>
              <w:spacing w:line="240" w:lineRule="auto"/>
              <w:ind w:firstLine="0"/>
              <w:jc w:val="left"/>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Calidad y sostenibilidad de la oferta</w:t>
            </w:r>
          </w:p>
        </w:tc>
        <w:tc>
          <w:tcPr>
            <w:tcW w:w="772" w:type="pct"/>
            <w:vAlign w:val="center"/>
            <w:hideMark/>
          </w:tcPr>
          <w:p w14:paraId="718FCB61"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Heterogeneidad de estándares.</w:t>
            </w:r>
          </w:p>
          <w:p w14:paraId="347A326A"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Riesgos sanitarios y de seguridad.</w:t>
            </w:r>
          </w:p>
          <w:p w14:paraId="4EECCED2"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Baja adopción de sellos de calidad.</w:t>
            </w:r>
          </w:p>
          <w:p w14:paraId="6DC71E9C"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Débil gestión de capacidad de carga.</w:t>
            </w:r>
          </w:p>
        </w:tc>
        <w:tc>
          <w:tcPr>
            <w:tcW w:w="756" w:type="pct"/>
            <w:vAlign w:val="center"/>
            <w:hideMark/>
          </w:tcPr>
          <w:p w14:paraId="0AEE3C17"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Prestadores fuera de programas de calidad y sostenibilidad.</w:t>
            </w:r>
          </w:p>
          <w:p w14:paraId="7083E3BE"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Guías, hospedajes y transportes no certificados.</w:t>
            </w:r>
          </w:p>
        </w:tc>
        <w:tc>
          <w:tcPr>
            <w:tcW w:w="682" w:type="pct"/>
            <w:vAlign w:val="center"/>
            <w:hideMark/>
          </w:tcPr>
          <w:p w14:paraId="0EC4E25E"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Adopción de sellos &lt;1% en prestadores del depto.</w:t>
            </w:r>
          </w:p>
          <w:p w14:paraId="322CEAD2"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Testimonios sobre guianza y transporte informal.</w:t>
            </w:r>
          </w:p>
        </w:tc>
        <w:tc>
          <w:tcPr>
            <w:tcW w:w="681" w:type="pct"/>
            <w:vAlign w:val="center"/>
            <w:hideMark/>
          </w:tcPr>
          <w:p w14:paraId="00393663"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Experiencias inconsistentes.</w:t>
            </w:r>
          </w:p>
          <w:p w14:paraId="2DE81B01"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Daño reputacional.</w:t>
            </w:r>
          </w:p>
          <w:p w14:paraId="3C60C131"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Presión ambiental mal medida.</w:t>
            </w:r>
          </w:p>
        </w:tc>
        <w:tc>
          <w:tcPr>
            <w:tcW w:w="608" w:type="pct"/>
            <w:vAlign w:val="center"/>
            <w:hideMark/>
          </w:tcPr>
          <w:p w14:paraId="66E05621"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Deterioro de marca-destino y de satisfacción del visitante</w:t>
            </w:r>
          </w:p>
        </w:tc>
        <w:tc>
          <w:tcPr>
            <w:tcW w:w="833" w:type="pct"/>
            <w:vAlign w:val="center"/>
            <w:hideMark/>
          </w:tcPr>
          <w:p w14:paraId="47552E51"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highlight w:val="yellow"/>
                <w:lang w:eastAsia="es-CO"/>
              </w:rPr>
            </w:pPr>
            <w:r w:rsidRPr="005A1098">
              <w:rPr>
                <w:rFonts w:ascii="Times New Roman" w:hAnsi="Times New Roman"/>
                <w:sz w:val="16"/>
                <w:szCs w:val="16"/>
              </w:rPr>
              <w:t>(Santander Competitivo, 2018; Ministerio de Comercio, Industria y Turismo &amp; FONTUR, 2021; FONTUR, 2022)</w:t>
            </w:r>
          </w:p>
        </w:tc>
      </w:tr>
      <w:tr w:rsidR="00101059" w:rsidRPr="005A1098" w14:paraId="6A6CF333" w14:textId="77777777" w:rsidTr="00831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8" w:type="pct"/>
            <w:vAlign w:val="center"/>
            <w:hideMark/>
          </w:tcPr>
          <w:p w14:paraId="60FA3914" w14:textId="77777777" w:rsidR="00101059" w:rsidRPr="005A1098" w:rsidRDefault="00101059" w:rsidP="00831F13">
            <w:pPr>
              <w:spacing w:line="240" w:lineRule="auto"/>
              <w:ind w:firstLine="0"/>
              <w:jc w:val="left"/>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Recaudo e inversión sectorial</w:t>
            </w:r>
          </w:p>
        </w:tc>
        <w:tc>
          <w:tcPr>
            <w:tcW w:w="772" w:type="pct"/>
            <w:vAlign w:val="center"/>
            <w:hideMark/>
          </w:tcPr>
          <w:p w14:paraId="7A6C9F7C"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Menor tributación y parafiscales.</w:t>
            </w:r>
          </w:p>
          <w:p w14:paraId="342F557A"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Bajo “retorno” de la contribución al destino.</w:t>
            </w:r>
          </w:p>
          <w:p w14:paraId="16EF05DC"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Menor presupuesto para promoción e infraestructura.</w:t>
            </w:r>
          </w:p>
        </w:tc>
        <w:tc>
          <w:tcPr>
            <w:tcW w:w="756" w:type="pct"/>
            <w:vAlign w:val="center"/>
            <w:hideMark/>
          </w:tcPr>
          <w:p w14:paraId="6AC088E9"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Evasión/omisión por operar fuera del circuito formal.</w:t>
            </w:r>
          </w:p>
          <w:p w14:paraId="77513120"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Subutilización de instrumentos parafiscales.</w:t>
            </w:r>
          </w:p>
        </w:tc>
        <w:tc>
          <w:tcPr>
            <w:tcW w:w="682" w:type="pct"/>
            <w:vAlign w:val="center"/>
            <w:hideMark/>
          </w:tcPr>
          <w:p w14:paraId="00D69AB4"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Indicador de retorno parafiscal bajo.</w:t>
            </w:r>
          </w:p>
          <w:p w14:paraId="43F9AB74"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Brechas en inversión pública turística.</w:t>
            </w:r>
          </w:p>
        </w:tc>
        <w:tc>
          <w:tcPr>
            <w:tcW w:w="681" w:type="pct"/>
            <w:vAlign w:val="center"/>
            <w:hideMark/>
          </w:tcPr>
          <w:p w14:paraId="5C336698"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Menor promoción, mantenimiento e innovación; trampa de bajo crecimiento.</w:t>
            </w:r>
          </w:p>
        </w:tc>
        <w:tc>
          <w:tcPr>
            <w:tcW w:w="608" w:type="pct"/>
            <w:vAlign w:val="center"/>
            <w:hideMark/>
          </w:tcPr>
          <w:p w14:paraId="3AF3B846"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Círculo de retroalimentación negativo: menos recursos, menos competitividad, más informalidad.</w:t>
            </w:r>
          </w:p>
        </w:tc>
        <w:tc>
          <w:tcPr>
            <w:tcW w:w="833" w:type="pct"/>
            <w:vAlign w:val="center"/>
            <w:hideMark/>
          </w:tcPr>
          <w:p w14:paraId="32F13437" w14:textId="77777777" w:rsidR="00101059" w:rsidRPr="005A1098" w:rsidRDefault="00101059" w:rsidP="00831F13">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highlight w:val="yellow"/>
                <w:lang w:eastAsia="es-CO"/>
              </w:rPr>
            </w:pPr>
            <w:r w:rsidRPr="00182E8C">
              <w:rPr>
                <w:rFonts w:ascii="Times New Roman" w:hAnsi="Times New Roman"/>
                <w:sz w:val="16"/>
                <w:szCs w:val="16"/>
              </w:rPr>
              <w:t xml:space="preserve">(Ministerio de Comercio, Industria y Turismo &amp; Fondo Nacional de Turismo, </w:t>
            </w:r>
            <w:r>
              <w:rPr>
                <w:rFonts w:ascii="Times New Roman" w:hAnsi="Times New Roman"/>
                <w:sz w:val="16"/>
                <w:szCs w:val="16"/>
              </w:rPr>
              <w:t>2025</w:t>
            </w:r>
            <w:r w:rsidRPr="00182E8C">
              <w:rPr>
                <w:rFonts w:ascii="Times New Roman" w:hAnsi="Times New Roman"/>
                <w:sz w:val="16"/>
                <w:szCs w:val="16"/>
              </w:rPr>
              <w:t>.; Cámara de Comercio de Bucaramanga, 2024)</w:t>
            </w:r>
          </w:p>
        </w:tc>
      </w:tr>
      <w:tr w:rsidR="00101059" w:rsidRPr="005A1098" w14:paraId="123A5FEC" w14:textId="77777777" w:rsidTr="00831F13">
        <w:tc>
          <w:tcPr>
            <w:cnfStyle w:val="001000000000" w:firstRow="0" w:lastRow="0" w:firstColumn="1" w:lastColumn="0" w:oddVBand="0" w:evenVBand="0" w:oddHBand="0" w:evenHBand="0" w:firstRowFirstColumn="0" w:firstRowLastColumn="0" w:lastRowFirstColumn="0" w:lastRowLastColumn="0"/>
            <w:tcW w:w="668" w:type="pct"/>
            <w:vAlign w:val="center"/>
            <w:hideMark/>
          </w:tcPr>
          <w:p w14:paraId="70BAE7D5" w14:textId="77777777" w:rsidR="00101059" w:rsidRPr="005A1098" w:rsidRDefault="00101059" w:rsidP="00831F13">
            <w:pPr>
              <w:spacing w:line="240" w:lineRule="auto"/>
              <w:ind w:firstLine="0"/>
              <w:jc w:val="left"/>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Empleo y desarrollo regional</w:t>
            </w:r>
          </w:p>
        </w:tc>
        <w:tc>
          <w:tcPr>
            <w:tcW w:w="772" w:type="pct"/>
            <w:vAlign w:val="center"/>
            <w:hideMark/>
          </w:tcPr>
          <w:p w14:paraId="4D5CBD54"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Precariedad laboral (ingresos inestables, sin protección).</w:t>
            </w:r>
          </w:p>
          <w:p w14:paraId="79D82F88"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Encadenamientos débiles; baja atracción de IED</w:t>
            </w:r>
          </w:p>
        </w:tc>
        <w:tc>
          <w:tcPr>
            <w:tcW w:w="756" w:type="pct"/>
            <w:vAlign w:val="center"/>
            <w:hideMark/>
          </w:tcPr>
          <w:p w14:paraId="75A46372"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Informalidad laboral alta.</w:t>
            </w:r>
          </w:p>
          <w:p w14:paraId="3E88141C"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Unidades atomizadas, poco asociadas.</w:t>
            </w:r>
          </w:p>
        </w:tc>
        <w:tc>
          <w:tcPr>
            <w:tcW w:w="682" w:type="pct"/>
            <w:vAlign w:val="center"/>
            <w:hideMark/>
          </w:tcPr>
          <w:p w14:paraId="05784E37"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Informalidad laboral histórica elevada en turismo regional</w:t>
            </w:r>
          </w:p>
        </w:tc>
        <w:tc>
          <w:tcPr>
            <w:tcW w:w="681" w:type="pct"/>
            <w:vAlign w:val="center"/>
            <w:hideMark/>
          </w:tcPr>
          <w:p w14:paraId="735D57DD"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 Menor productividad y movilidad social.</w:t>
            </w:r>
          </w:p>
          <w:p w14:paraId="5F00A8DA"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Fuga de talento.</w:t>
            </w:r>
          </w:p>
        </w:tc>
        <w:tc>
          <w:tcPr>
            <w:tcW w:w="608" w:type="pct"/>
            <w:vAlign w:val="center"/>
            <w:hideMark/>
          </w:tcPr>
          <w:p w14:paraId="375A9EDE"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s-CO"/>
              </w:rPr>
            </w:pPr>
            <w:r w:rsidRPr="005A1098">
              <w:rPr>
                <w:rFonts w:ascii="Times New Roman" w:eastAsia="Times New Roman" w:hAnsi="Times New Roman"/>
                <w:sz w:val="16"/>
                <w:szCs w:val="16"/>
                <w:lang w:eastAsia="es-CO"/>
              </w:rPr>
              <w:t>Pérdida de masa crítica para clúster y sofisticación</w:t>
            </w:r>
          </w:p>
        </w:tc>
        <w:tc>
          <w:tcPr>
            <w:tcW w:w="833" w:type="pct"/>
            <w:vAlign w:val="center"/>
            <w:hideMark/>
          </w:tcPr>
          <w:p w14:paraId="2A8D852A" w14:textId="77777777" w:rsidR="00101059" w:rsidRPr="005A1098"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highlight w:val="yellow"/>
                <w:lang w:eastAsia="es-CO"/>
              </w:rPr>
            </w:pPr>
            <w:r w:rsidRPr="005A1098">
              <w:rPr>
                <w:rFonts w:ascii="Times New Roman" w:hAnsi="Times New Roman"/>
                <w:sz w:val="16"/>
                <w:szCs w:val="16"/>
              </w:rPr>
              <w:t>(Santander Competitivo, 2018; Cámara de Comercio de Bucaramanga, 2024; COTELCO Santander, 2024)</w:t>
            </w:r>
          </w:p>
        </w:tc>
      </w:tr>
    </w:tbl>
    <w:p w14:paraId="647E9508" w14:textId="77777777" w:rsidR="00101059" w:rsidRDefault="00101059" w:rsidP="00101059">
      <w:pPr>
        <w:pStyle w:val="Sinespaciado"/>
      </w:pPr>
    </w:p>
    <w:p w14:paraId="05689787" w14:textId="29840785" w:rsidR="00101059" w:rsidRPr="00924BCD" w:rsidRDefault="00101059" w:rsidP="005A45A4">
      <w:pPr>
        <w:pStyle w:val="Ttulo2"/>
      </w:pPr>
      <w:bookmarkStart w:id="42" w:name="_Toc218596645"/>
      <w:r w:rsidRPr="00924BCD">
        <w:t>Triangulación comparativa de resultados</w:t>
      </w:r>
      <w:bookmarkEnd w:id="42"/>
    </w:p>
    <w:p w14:paraId="218B377A" w14:textId="4AB776F2" w:rsidR="00101059" w:rsidRDefault="005A45A4" w:rsidP="001706FD">
      <w:pPr>
        <w:pStyle w:val="Sinespaciado"/>
        <w:spacing w:line="360" w:lineRule="auto"/>
      </w:pPr>
      <w:r>
        <w:t>D</w:t>
      </w:r>
      <w:r w:rsidR="00101059">
        <w:t xml:space="preserve">entro de los resultados se identifican múltiples convergencias, si bien las implicaciones prácticas varían según las condiciones particulares del departamento de Santander. </w:t>
      </w:r>
    </w:p>
    <w:p w14:paraId="74DC0FAB" w14:textId="77777777" w:rsidR="00101059" w:rsidRDefault="00101059" w:rsidP="001706FD">
      <w:pPr>
        <w:pStyle w:val="Sinespaciado"/>
        <w:spacing w:line="360" w:lineRule="auto"/>
      </w:pPr>
      <w:r>
        <w:t>A continuación, se presenta la matriz cruzada con la triangulación realizada:</w:t>
      </w:r>
    </w:p>
    <w:p w14:paraId="395216D9" w14:textId="068BA3C6" w:rsidR="00101059" w:rsidRDefault="00101059" w:rsidP="00101059">
      <w:pPr>
        <w:pStyle w:val="Descripcin"/>
        <w:spacing w:line="360" w:lineRule="auto"/>
        <w:rPr>
          <w:b w:val="0"/>
          <w:bCs w:val="0"/>
          <w:i/>
          <w:iCs/>
        </w:rPr>
      </w:pPr>
      <w:bookmarkStart w:id="43" w:name="_Toc218529133"/>
      <w:r w:rsidRPr="008B1887">
        <w:t xml:space="preserve">Tabla </w:t>
      </w:r>
      <w:r w:rsidR="00084DA0">
        <w:fldChar w:fldCharType="begin"/>
      </w:r>
      <w:r w:rsidR="00084DA0">
        <w:instrText xml:space="preserve"> SEQ Tabla \* ARABIC </w:instrText>
      </w:r>
      <w:r w:rsidR="00084DA0">
        <w:fldChar w:fldCharType="separate"/>
      </w:r>
      <w:r w:rsidR="005A45A4">
        <w:rPr>
          <w:noProof/>
        </w:rPr>
        <w:t>9</w:t>
      </w:r>
      <w:r w:rsidR="00084DA0">
        <w:rPr>
          <w:noProof/>
        </w:rPr>
        <w:fldChar w:fldCharType="end"/>
      </w:r>
      <w:r w:rsidRPr="008B1887">
        <w:t xml:space="preserve">. </w:t>
      </w:r>
      <w:r>
        <w:br/>
      </w:r>
      <w:r w:rsidRPr="00924BCD">
        <w:rPr>
          <w:b w:val="0"/>
          <w:bCs w:val="0"/>
          <w:i/>
          <w:iCs/>
        </w:rPr>
        <w:t>Matriz de convergencias, divergencias y complementariedades</w:t>
      </w:r>
      <w:bookmarkEnd w:id="43"/>
    </w:p>
    <w:tbl>
      <w:tblPr>
        <w:tblStyle w:val="Tabladelista6concolores2"/>
        <w:tblW w:w="0" w:type="auto"/>
        <w:tblLayout w:type="fixed"/>
        <w:tblLook w:val="04A0" w:firstRow="1" w:lastRow="0" w:firstColumn="1" w:lastColumn="0" w:noHBand="0" w:noVBand="1"/>
      </w:tblPr>
      <w:tblGrid>
        <w:gridCol w:w="1134"/>
        <w:gridCol w:w="1470"/>
        <w:gridCol w:w="1283"/>
        <w:gridCol w:w="1211"/>
        <w:gridCol w:w="1281"/>
        <w:gridCol w:w="1559"/>
        <w:gridCol w:w="1422"/>
      </w:tblGrid>
      <w:tr w:rsidR="00101059" w:rsidRPr="00021AAD" w14:paraId="0EFF7DF9" w14:textId="77777777" w:rsidTr="00831F1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hideMark/>
          </w:tcPr>
          <w:p w14:paraId="1D4342E6" w14:textId="77777777" w:rsidR="00101059" w:rsidRPr="00021AAD" w:rsidRDefault="00101059" w:rsidP="00831F13">
            <w:pPr>
              <w:spacing w:line="240" w:lineRule="auto"/>
              <w:ind w:firstLine="0"/>
              <w:jc w:val="center"/>
              <w:rPr>
                <w:rFonts w:eastAsia="Times New Roman"/>
                <w:sz w:val="14"/>
                <w:szCs w:val="14"/>
                <w:lang w:eastAsia="es-CO"/>
              </w:rPr>
            </w:pPr>
            <w:r w:rsidRPr="00021AAD">
              <w:rPr>
                <w:rFonts w:eastAsia="Times New Roman"/>
                <w:sz w:val="14"/>
                <w:szCs w:val="14"/>
                <w:lang w:eastAsia="es-CO"/>
              </w:rPr>
              <w:t>Categoría analítica</w:t>
            </w:r>
          </w:p>
        </w:tc>
        <w:tc>
          <w:tcPr>
            <w:tcW w:w="1470" w:type="dxa"/>
            <w:hideMark/>
          </w:tcPr>
          <w:p w14:paraId="386A30A5" w14:textId="77777777" w:rsidR="00101059" w:rsidRPr="00021AAD"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sz w:val="14"/>
                <w:szCs w:val="14"/>
                <w:lang w:eastAsia="es-CO"/>
              </w:rPr>
            </w:pPr>
            <w:r w:rsidRPr="00021AAD">
              <w:rPr>
                <w:rFonts w:eastAsia="Times New Roman"/>
                <w:sz w:val="14"/>
                <w:szCs w:val="14"/>
                <w:lang w:eastAsia="es-CO"/>
              </w:rPr>
              <w:t xml:space="preserve">Evidencia teórica </w:t>
            </w:r>
          </w:p>
        </w:tc>
        <w:tc>
          <w:tcPr>
            <w:tcW w:w="1283" w:type="dxa"/>
            <w:hideMark/>
          </w:tcPr>
          <w:p w14:paraId="5CD90188" w14:textId="77777777" w:rsidR="00101059" w:rsidRPr="00021AAD"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sz w:val="14"/>
                <w:szCs w:val="14"/>
                <w:lang w:eastAsia="es-CO"/>
              </w:rPr>
            </w:pPr>
            <w:r w:rsidRPr="00021AAD">
              <w:rPr>
                <w:rFonts w:eastAsia="Times New Roman"/>
                <w:sz w:val="14"/>
                <w:szCs w:val="14"/>
                <w:lang w:eastAsia="es-CO"/>
              </w:rPr>
              <w:t xml:space="preserve">Evidencia empírica digital </w:t>
            </w:r>
          </w:p>
        </w:tc>
        <w:tc>
          <w:tcPr>
            <w:tcW w:w="1211" w:type="dxa"/>
            <w:hideMark/>
          </w:tcPr>
          <w:p w14:paraId="0C1CA536" w14:textId="77777777" w:rsidR="00101059" w:rsidRPr="00021AAD"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sz w:val="14"/>
                <w:szCs w:val="14"/>
                <w:lang w:eastAsia="es-CO"/>
              </w:rPr>
            </w:pPr>
            <w:r w:rsidRPr="00021AAD">
              <w:rPr>
                <w:rFonts w:eastAsia="Times New Roman"/>
                <w:sz w:val="14"/>
                <w:szCs w:val="14"/>
                <w:lang w:eastAsia="es-CO"/>
              </w:rPr>
              <w:t xml:space="preserve">Evidencia institucional </w:t>
            </w:r>
          </w:p>
        </w:tc>
        <w:tc>
          <w:tcPr>
            <w:tcW w:w="1281" w:type="dxa"/>
            <w:hideMark/>
          </w:tcPr>
          <w:p w14:paraId="41FAC42F" w14:textId="77777777" w:rsidR="00101059" w:rsidRPr="00021AAD"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sz w:val="14"/>
                <w:szCs w:val="14"/>
                <w:lang w:eastAsia="es-CO"/>
              </w:rPr>
            </w:pPr>
            <w:r w:rsidRPr="00021AAD">
              <w:rPr>
                <w:rFonts w:eastAsia="Times New Roman"/>
                <w:sz w:val="14"/>
                <w:szCs w:val="14"/>
                <w:lang w:eastAsia="es-CO"/>
              </w:rPr>
              <w:t>Convergencias</w:t>
            </w:r>
          </w:p>
        </w:tc>
        <w:tc>
          <w:tcPr>
            <w:tcW w:w="1559" w:type="dxa"/>
            <w:hideMark/>
          </w:tcPr>
          <w:p w14:paraId="4C45286C" w14:textId="77777777" w:rsidR="00101059" w:rsidRPr="00021AAD"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sz w:val="14"/>
                <w:szCs w:val="14"/>
                <w:lang w:eastAsia="es-CO"/>
              </w:rPr>
            </w:pPr>
            <w:r w:rsidRPr="00021AAD">
              <w:rPr>
                <w:rFonts w:eastAsia="Times New Roman"/>
                <w:sz w:val="14"/>
                <w:szCs w:val="14"/>
                <w:lang w:eastAsia="es-CO"/>
              </w:rPr>
              <w:t>Divergencias / Tensiones</w:t>
            </w:r>
          </w:p>
        </w:tc>
        <w:tc>
          <w:tcPr>
            <w:tcW w:w="1422" w:type="dxa"/>
            <w:hideMark/>
          </w:tcPr>
          <w:p w14:paraId="142C9FEA" w14:textId="77777777" w:rsidR="00101059" w:rsidRPr="00021AAD" w:rsidRDefault="00101059" w:rsidP="00831F1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sz w:val="14"/>
                <w:szCs w:val="14"/>
                <w:lang w:eastAsia="es-CO"/>
              </w:rPr>
            </w:pPr>
            <w:r>
              <w:rPr>
                <w:rFonts w:eastAsia="Times New Roman"/>
                <w:sz w:val="14"/>
                <w:szCs w:val="14"/>
                <w:lang w:eastAsia="es-CO"/>
              </w:rPr>
              <w:t>Posibles i</w:t>
            </w:r>
            <w:r w:rsidRPr="00021AAD">
              <w:rPr>
                <w:rFonts w:eastAsia="Times New Roman"/>
                <w:sz w:val="14"/>
                <w:szCs w:val="14"/>
                <w:lang w:eastAsia="es-CO"/>
              </w:rPr>
              <w:t>mplicaciones para política y gestión</w:t>
            </w:r>
          </w:p>
        </w:tc>
      </w:tr>
      <w:tr w:rsidR="00101059" w:rsidRPr="00021AAD" w14:paraId="342CAF7B" w14:textId="77777777" w:rsidTr="00831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hideMark/>
          </w:tcPr>
          <w:p w14:paraId="7A906224" w14:textId="77777777" w:rsidR="00101059" w:rsidRPr="00021AAD" w:rsidRDefault="00101059" w:rsidP="00831F13">
            <w:pPr>
              <w:spacing w:line="240" w:lineRule="auto"/>
              <w:ind w:firstLine="0"/>
              <w:jc w:val="center"/>
              <w:rPr>
                <w:rFonts w:eastAsia="Times New Roman"/>
                <w:sz w:val="12"/>
                <w:szCs w:val="12"/>
                <w:lang w:eastAsia="es-CO"/>
              </w:rPr>
            </w:pPr>
            <w:r w:rsidRPr="00021AAD">
              <w:rPr>
                <w:rFonts w:eastAsia="Times New Roman"/>
                <w:sz w:val="12"/>
                <w:szCs w:val="12"/>
                <w:lang w:eastAsia="es-CO"/>
              </w:rPr>
              <w:t>Prácticas de gestión</w:t>
            </w:r>
          </w:p>
        </w:tc>
        <w:tc>
          <w:tcPr>
            <w:tcW w:w="1470" w:type="dxa"/>
            <w:hideMark/>
          </w:tcPr>
          <w:p w14:paraId="1011F11F"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xml:space="preserve">- </w:t>
            </w:r>
            <w:r w:rsidRPr="00021AAD">
              <w:rPr>
                <w:rFonts w:eastAsia="Times New Roman"/>
                <w:sz w:val="12"/>
                <w:szCs w:val="12"/>
                <w:lang w:eastAsia="es-CO"/>
              </w:rPr>
              <w:t xml:space="preserve">La competitividad y sostenibilidad de MiPymes se asocia a </w:t>
            </w:r>
            <w:r w:rsidRPr="00021AAD">
              <w:rPr>
                <w:rFonts w:eastAsia="Times New Roman"/>
                <w:sz w:val="12"/>
                <w:szCs w:val="12"/>
                <w:lang w:eastAsia="es-CO"/>
              </w:rPr>
              <w:lastRenderedPageBreak/>
              <w:t>innovación incremental, orientación emprendedora, capacitación continua y aprovechamiento de redes/plataformas como ecosistemas de aprendizaje, comercialización y reputación</w:t>
            </w:r>
            <w:r>
              <w:rPr>
                <w:rFonts w:eastAsia="Times New Roman"/>
                <w:sz w:val="12"/>
                <w:szCs w:val="12"/>
                <w:lang w:eastAsia="es-CO"/>
              </w:rPr>
              <w:t>.</w:t>
            </w:r>
          </w:p>
          <w:p w14:paraId="1B5BF76C"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322FB6D0" w14:textId="77777777" w:rsidR="00101059" w:rsidRPr="00021AAD"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E</w:t>
            </w:r>
            <w:r w:rsidRPr="00021AAD">
              <w:rPr>
                <w:rFonts w:eastAsia="Times New Roman"/>
                <w:sz w:val="12"/>
                <w:szCs w:val="12"/>
                <w:lang w:eastAsia="es-CO"/>
              </w:rPr>
              <w:t>l desempeño mejora cuando estas prácticas se institucionalizan en rutinas organizacionales.</w:t>
            </w:r>
          </w:p>
        </w:tc>
        <w:tc>
          <w:tcPr>
            <w:tcW w:w="1283" w:type="dxa"/>
            <w:hideMark/>
          </w:tcPr>
          <w:p w14:paraId="6B851576"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lastRenderedPageBreak/>
              <w:t xml:space="preserve">- </w:t>
            </w:r>
            <w:r w:rsidRPr="00021AAD">
              <w:rPr>
                <w:rFonts w:eastAsia="Times New Roman"/>
                <w:sz w:val="12"/>
                <w:szCs w:val="12"/>
                <w:lang w:eastAsia="es-CO"/>
              </w:rPr>
              <w:t xml:space="preserve">Alta heterogeneidad: perfiles formales muestran consistencia </w:t>
            </w:r>
            <w:r w:rsidRPr="00021AAD">
              <w:rPr>
                <w:rFonts w:eastAsia="Times New Roman"/>
                <w:sz w:val="12"/>
                <w:szCs w:val="12"/>
                <w:lang w:eastAsia="es-CO"/>
              </w:rPr>
              <w:lastRenderedPageBreak/>
              <w:t>visual, tono profesional, mensajes de seguridad/logística.</w:t>
            </w:r>
          </w:p>
          <w:p w14:paraId="6B955024" w14:textId="77777777" w:rsidR="00101059" w:rsidRPr="00021AAD"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5A307415"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xml:space="preserve">- </w:t>
            </w:r>
            <w:r w:rsidRPr="00021AAD">
              <w:rPr>
                <w:rFonts w:eastAsia="Times New Roman"/>
                <w:sz w:val="12"/>
                <w:szCs w:val="12"/>
                <w:lang w:eastAsia="es-CO"/>
              </w:rPr>
              <w:t>Marcas personales e influencers presentan mayor cadencia y alcance</w:t>
            </w:r>
            <w:r>
              <w:rPr>
                <w:rFonts w:eastAsia="Times New Roman"/>
                <w:sz w:val="12"/>
                <w:szCs w:val="12"/>
                <w:lang w:eastAsia="es-CO"/>
              </w:rPr>
              <w:t>.</w:t>
            </w:r>
          </w:p>
          <w:p w14:paraId="0FE21EFA"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70CB0C06"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M</w:t>
            </w:r>
            <w:r w:rsidRPr="00021AAD">
              <w:rPr>
                <w:rFonts w:eastAsia="Times New Roman"/>
                <w:sz w:val="12"/>
                <w:szCs w:val="12"/>
                <w:lang w:eastAsia="es-CO"/>
              </w:rPr>
              <w:t>icro oferentes evidencian irregularidad, baja estandarización y poca visibilidad de sellos/estándares</w:t>
            </w:r>
            <w:r>
              <w:rPr>
                <w:rFonts w:eastAsia="Times New Roman"/>
                <w:sz w:val="12"/>
                <w:szCs w:val="12"/>
                <w:lang w:eastAsia="es-CO"/>
              </w:rPr>
              <w:t>.</w:t>
            </w:r>
          </w:p>
          <w:p w14:paraId="38992CA7"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6752E0DA" w14:textId="77777777" w:rsidR="00101059" w:rsidRPr="00021AAD"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N</w:t>
            </w:r>
            <w:r w:rsidRPr="00021AAD">
              <w:rPr>
                <w:rFonts w:eastAsia="Times New Roman"/>
                <w:sz w:val="12"/>
                <w:szCs w:val="12"/>
                <w:lang w:eastAsia="es-CO"/>
              </w:rPr>
              <w:t>o es posible inferir conversión o ingresos desde métricas visibles.</w:t>
            </w:r>
          </w:p>
        </w:tc>
        <w:tc>
          <w:tcPr>
            <w:tcW w:w="1211" w:type="dxa"/>
            <w:hideMark/>
          </w:tcPr>
          <w:p w14:paraId="7188F165"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lastRenderedPageBreak/>
              <w:t xml:space="preserve">- </w:t>
            </w:r>
            <w:r w:rsidRPr="00021AAD">
              <w:rPr>
                <w:rFonts w:eastAsia="Times New Roman"/>
                <w:sz w:val="12"/>
                <w:szCs w:val="12"/>
                <w:lang w:eastAsia="es-CO"/>
              </w:rPr>
              <w:t>Predomina tejido microempresarial</w:t>
            </w:r>
            <w:r>
              <w:rPr>
                <w:rFonts w:eastAsia="Times New Roman"/>
                <w:sz w:val="12"/>
                <w:szCs w:val="12"/>
                <w:lang w:eastAsia="es-CO"/>
              </w:rPr>
              <w:t>.</w:t>
            </w:r>
          </w:p>
          <w:p w14:paraId="2DA1A69B"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2D8145FA"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lastRenderedPageBreak/>
              <w:t>- B</w:t>
            </w:r>
            <w:r w:rsidRPr="00021AAD">
              <w:rPr>
                <w:rFonts w:eastAsia="Times New Roman"/>
                <w:sz w:val="12"/>
                <w:szCs w:val="12"/>
                <w:lang w:eastAsia="es-CO"/>
              </w:rPr>
              <w:t>rechas de capital humano (gestión, servicio, bilingüismo), baja asociatividad y alcance desigual de programas</w:t>
            </w:r>
            <w:r>
              <w:rPr>
                <w:rFonts w:eastAsia="Times New Roman"/>
                <w:sz w:val="12"/>
                <w:szCs w:val="12"/>
                <w:lang w:eastAsia="es-CO"/>
              </w:rPr>
              <w:t>.</w:t>
            </w:r>
          </w:p>
          <w:p w14:paraId="53664E1A"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16CF23D3"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L</w:t>
            </w:r>
            <w:r w:rsidRPr="00021AAD">
              <w:rPr>
                <w:rFonts w:eastAsia="Times New Roman"/>
                <w:sz w:val="12"/>
                <w:szCs w:val="12"/>
                <w:lang w:eastAsia="es-CO"/>
              </w:rPr>
              <w:t>a formalización se percibe costosa cuando los beneficios son difusos</w:t>
            </w:r>
            <w:r>
              <w:rPr>
                <w:rFonts w:eastAsia="Times New Roman"/>
                <w:sz w:val="12"/>
                <w:szCs w:val="12"/>
                <w:lang w:eastAsia="es-CO"/>
              </w:rPr>
              <w:t>.</w:t>
            </w:r>
          </w:p>
          <w:p w14:paraId="239E0A1B"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00F666FC" w14:textId="77777777" w:rsidR="00101059" w:rsidRPr="00021AAD"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D</w:t>
            </w:r>
            <w:r w:rsidRPr="00021AAD">
              <w:rPr>
                <w:rFonts w:eastAsia="Times New Roman"/>
                <w:sz w:val="12"/>
                <w:szCs w:val="12"/>
                <w:lang w:eastAsia="es-CO"/>
              </w:rPr>
              <w:t>esafíos de implementación, divulgación y acompañamiento territorial.</w:t>
            </w:r>
          </w:p>
        </w:tc>
        <w:tc>
          <w:tcPr>
            <w:tcW w:w="1281" w:type="dxa"/>
            <w:hideMark/>
          </w:tcPr>
          <w:p w14:paraId="07D9755E"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lastRenderedPageBreak/>
              <w:t xml:space="preserve">- </w:t>
            </w:r>
            <w:r w:rsidRPr="00021AAD">
              <w:rPr>
                <w:rFonts w:eastAsia="Times New Roman"/>
                <w:sz w:val="12"/>
                <w:szCs w:val="12"/>
                <w:lang w:eastAsia="es-CO"/>
              </w:rPr>
              <w:t>Redes sociales son canal crític</w:t>
            </w:r>
            <w:r>
              <w:rPr>
                <w:rFonts w:eastAsia="Times New Roman"/>
                <w:sz w:val="12"/>
                <w:szCs w:val="12"/>
                <w:lang w:eastAsia="es-CO"/>
              </w:rPr>
              <w:t>o.</w:t>
            </w:r>
          </w:p>
          <w:p w14:paraId="3C7843E2"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6CD104EF"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lastRenderedPageBreak/>
              <w:t>- L</w:t>
            </w:r>
            <w:r w:rsidRPr="00021AAD">
              <w:rPr>
                <w:rFonts w:eastAsia="Times New Roman"/>
                <w:sz w:val="12"/>
                <w:szCs w:val="12"/>
                <w:lang w:eastAsia="es-CO"/>
              </w:rPr>
              <w:t>a profesionalización comunicativa y cierta disciplina de gestión parecen correlacionar con mejor posicionamiento</w:t>
            </w:r>
            <w:r>
              <w:rPr>
                <w:rFonts w:eastAsia="Times New Roman"/>
                <w:sz w:val="12"/>
                <w:szCs w:val="12"/>
                <w:lang w:eastAsia="es-CO"/>
              </w:rPr>
              <w:t>.</w:t>
            </w:r>
          </w:p>
          <w:p w14:paraId="29B74674"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77168CE8" w14:textId="77777777" w:rsidR="00101059" w:rsidRPr="00021AAD"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S</w:t>
            </w:r>
            <w:r w:rsidRPr="00021AAD">
              <w:rPr>
                <w:rFonts w:eastAsia="Times New Roman"/>
                <w:sz w:val="12"/>
                <w:szCs w:val="12"/>
                <w:lang w:eastAsia="es-CO"/>
              </w:rPr>
              <w:t>e requiere formación aplicada y acompañamiento para convertir lineamientos en prácticas reales.</w:t>
            </w:r>
          </w:p>
        </w:tc>
        <w:tc>
          <w:tcPr>
            <w:tcW w:w="1559" w:type="dxa"/>
            <w:hideMark/>
          </w:tcPr>
          <w:p w14:paraId="37288609"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lastRenderedPageBreak/>
              <w:t xml:space="preserve">- </w:t>
            </w:r>
            <w:r w:rsidRPr="00021AAD">
              <w:rPr>
                <w:rFonts w:eastAsia="Times New Roman"/>
                <w:sz w:val="12"/>
                <w:szCs w:val="12"/>
                <w:lang w:eastAsia="es-CO"/>
              </w:rPr>
              <w:t xml:space="preserve">Valor percibido de la formalidad/estándares </w:t>
            </w:r>
            <w:r>
              <w:rPr>
                <w:rFonts w:eastAsia="Times New Roman"/>
                <w:sz w:val="12"/>
                <w:szCs w:val="12"/>
                <w:lang w:eastAsia="es-CO"/>
              </w:rPr>
              <w:t xml:space="preserve">es menor al </w:t>
            </w:r>
            <w:r w:rsidRPr="00021AAD">
              <w:rPr>
                <w:rFonts w:eastAsia="Times New Roman"/>
                <w:sz w:val="12"/>
                <w:szCs w:val="12"/>
                <w:lang w:eastAsia="es-CO"/>
              </w:rPr>
              <w:t xml:space="preserve">costo percibido </w:t>
            </w:r>
            <w:r w:rsidRPr="00021AAD">
              <w:rPr>
                <w:rFonts w:eastAsia="Times New Roman"/>
                <w:sz w:val="12"/>
                <w:szCs w:val="12"/>
                <w:lang w:eastAsia="es-CO"/>
              </w:rPr>
              <w:lastRenderedPageBreak/>
              <w:t>(trámites/tiempo</w:t>
            </w:r>
            <w:r>
              <w:rPr>
                <w:rFonts w:eastAsia="Times New Roman"/>
                <w:sz w:val="12"/>
                <w:szCs w:val="12"/>
                <w:lang w:eastAsia="es-CO"/>
              </w:rPr>
              <w:t xml:space="preserve"> </w:t>
            </w:r>
            <w:r w:rsidRPr="00021AAD">
              <w:rPr>
                <w:rFonts w:eastAsia="Times New Roman"/>
                <w:sz w:val="12"/>
                <w:szCs w:val="12"/>
                <w:lang w:eastAsia="es-CO"/>
              </w:rPr>
              <w:t>/</w:t>
            </w:r>
            <w:r>
              <w:rPr>
                <w:rFonts w:eastAsia="Times New Roman"/>
                <w:sz w:val="12"/>
                <w:szCs w:val="12"/>
                <w:lang w:eastAsia="es-CO"/>
              </w:rPr>
              <w:t xml:space="preserve"> </w:t>
            </w:r>
            <w:r w:rsidRPr="00021AAD">
              <w:rPr>
                <w:rFonts w:eastAsia="Times New Roman"/>
                <w:sz w:val="12"/>
                <w:szCs w:val="12"/>
                <w:lang w:eastAsia="es-CO"/>
              </w:rPr>
              <w:t>impuestos)</w:t>
            </w:r>
            <w:r>
              <w:rPr>
                <w:rFonts w:eastAsia="Times New Roman"/>
                <w:sz w:val="12"/>
                <w:szCs w:val="12"/>
                <w:lang w:eastAsia="es-CO"/>
              </w:rPr>
              <w:t xml:space="preserve"> para algunos casos.</w:t>
            </w:r>
          </w:p>
          <w:p w14:paraId="28AAD486"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3CA7D692" w14:textId="77777777" w:rsidR="00101059" w:rsidRPr="00021AAD"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E</w:t>
            </w:r>
            <w:r w:rsidRPr="00021AAD">
              <w:rPr>
                <w:rFonts w:eastAsia="Times New Roman"/>
                <w:sz w:val="12"/>
                <w:szCs w:val="12"/>
                <w:lang w:eastAsia="es-CO"/>
              </w:rPr>
              <w:t>xiste un</w:t>
            </w:r>
            <w:r>
              <w:rPr>
                <w:rFonts w:eastAsia="Times New Roman"/>
                <w:sz w:val="12"/>
                <w:szCs w:val="12"/>
                <w:lang w:eastAsia="es-CO"/>
              </w:rPr>
              <w:t>a diferencia marcada</w:t>
            </w:r>
            <w:r w:rsidRPr="00021AAD">
              <w:rPr>
                <w:rFonts w:eastAsia="Times New Roman"/>
                <w:sz w:val="12"/>
                <w:szCs w:val="12"/>
                <w:lang w:eastAsia="es-CO"/>
              </w:rPr>
              <w:t xml:space="preserve"> entre lo recomendado (innovación, formación, procesos) y lo que efectivamente puede ejecutar una microempresa en lógica de subsistencia</w:t>
            </w:r>
            <w:r>
              <w:rPr>
                <w:rFonts w:eastAsia="Times New Roman"/>
                <w:sz w:val="12"/>
                <w:szCs w:val="12"/>
                <w:lang w:eastAsia="es-CO"/>
              </w:rPr>
              <w:t xml:space="preserve"> (desde el criterio del oferente, o lo realmente realizado por ellos).</w:t>
            </w:r>
          </w:p>
        </w:tc>
        <w:tc>
          <w:tcPr>
            <w:tcW w:w="1422" w:type="dxa"/>
            <w:hideMark/>
          </w:tcPr>
          <w:p w14:paraId="0DDF7A3B"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lastRenderedPageBreak/>
              <w:t xml:space="preserve">- </w:t>
            </w:r>
            <w:r w:rsidRPr="00021AAD">
              <w:rPr>
                <w:rFonts w:eastAsia="Times New Roman"/>
                <w:sz w:val="12"/>
                <w:szCs w:val="12"/>
                <w:lang w:eastAsia="es-CO"/>
              </w:rPr>
              <w:t>Mapeo y segmentación del universo de oferentes (formales e informales)</w:t>
            </w:r>
            <w:r>
              <w:rPr>
                <w:rFonts w:eastAsia="Times New Roman"/>
                <w:sz w:val="12"/>
                <w:szCs w:val="12"/>
                <w:lang w:eastAsia="es-CO"/>
              </w:rPr>
              <w:t>.</w:t>
            </w:r>
          </w:p>
          <w:p w14:paraId="5160DF15"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0C5B0492"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F</w:t>
            </w:r>
            <w:r w:rsidRPr="00021AAD">
              <w:rPr>
                <w:rFonts w:eastAsia="Times New Roman"/>
                <w:sz w:val="12"/>
                <w:szCs w:val="12"/>
                <w:lang w:eastAsia="es-CO"/>
              </w:rPr>
              <w:t>ormación modular y práctica (marketing, servicio, costos, seguridad)</w:t>
            </w:r>
            <w:r>
              <w:rPr>
                <w:rFonts w:eastAsia="Times New Roman"/>
                <w:sz w:val="12"/>
                <w:szCs w:val="12"/>
                <w:lang w:eastAsia="es-CO"/>
              </w:rPr>
              <w:t>.</w:t>
            </w:r>
          </w:p>
          <w:p w14:paraId="1ACB03A6"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7957AA07"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A</w:t>
            </w:r>
            <w:r w:rsidRPr="00021AAD">
              <w:rPr>
                <w:rFonts w:eastAsia="Times New Roman"/>
                <w:sz w:val="12"/>
                <w:szCs w:val="12"/>
                <w:lang w:eastAsia="es-CO"/>
              </w:rPr>
              <w:t>compañamiento para</w:t>
            </w:r>
            <w:r>
              <w:rPr>
                <w:rFonts w:eastAsia="Times New Roman"/>
                <w:sz w:val="12"/>
                <w:szCs w:val="12"/>
                <w:lang w:eastAsia="es-CO"/>
              </w:rPr>
              <w:t xml:space="preserve"> </w:t>
            </w:r>
            <w:r w:rsidRPr="00021AAD">
              <w:rPr>
                <w:rFonts w:eastAsia="Times New Roman"/>
                <w:sz w:val="12"/>
                <w:szCs w:val="12"/>
                <w:lang w:eastAsia="es-CO"/>
              </w:rPr>
              <w:t>micro comunicación institucional orientada a “propuesta de valor” tangible</w:t>
            </w:r>
            <w:r>
              <w:rPr>
                <w:rFonts w:eastAsia="Times New Roman"/>
                <w:sz w:val="12"/>
                <w:szCs w:val="12"/>
                <w:lang w:eastAsia="es-CO"/>
              </w:rPr>
              <w:t>.</w:t>
            </w:r>
          </w:p>
          <w:p w14:paraId="3322CD9F"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593728FF" w14:textId="77777777" w:rsidR="00101059" w:rsidRPr="00021AAD"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G</w:t>
            </w:r>
            <w:r w:rsidRPr="00021AAD">
              <w:rPr>
                <w:rFonts w:eastAsia="Times New Roman"/>
                <w:sz w:val="12"/>
                <w:szCs w:val="12"/>
                <w:lang w:eastAsia="es-CO"/>
              </w:rPr>
              <w:t>uías operativas simples para formalización progresiva.</w:t>
            </w:r>
          </w:p>
        </w:tc>
      </w:tr>
      <w:tr w:rsidR="00101059" w:rsidRPr="00021AAD" w14:paraId="3621AF15" w14:textId="77777777" w:rsidTr="00831F13">
        <w:tc>
          <w:tcPr>
            <w:cnfStyle w:val="001000000000" w:firstRow="0" w:lastRow="0" w:firstColumn="1" w:lastColumn="0" w:oddVBand="0" w:evenVBand="0" w:oddHBand="0" w:evenHBand="0" w:firstRowFirstColumn="0" w:firstRowLastColumn="0" w:lastRowFirstColumn="0" w:lastRowLastColumn="0"/>
            <w:tcW w:w="1134" w:type="dxa"/>
            <w:hideMark/>
          </w:tcPr>
          <w:p w14:paraId="3154CA4A" w14:textId="77777777" w:rsidR="00101059" w:rsidRPr="00021AAD" w:rsidRDefault="00101059" w:rsidP="00831F13">
            <w:pPr>
              <w:spacing w:line="240" w:lineRule="auto"/>
              <w:ind w:firstLine="0"/>
              <w:jc w:val="center"/>
              <w:rPr>
                <w:rFonts w:eastAsia="Times New Roman"/>
                <w:sz w:val="12"/>
                <w:szCs w:val="12"/>
                <w:lang w:eastAsia="es-CO"/>
              </w:rPr>
            </w:pPr>
            <w:r w:rsidRPr="00021AAD">
              <w:rPr>
                <w:rFonts w:eastAsia="Times New Roman"/>
                <w:sz w:val="12"/>
                <w:szCs w:val="12"/>
                <w:lang w:eastAsia="es-CO"/>
              </w:rPr>
              <w:lastRenderedPageBreak/>
              <w:t>Estructuras de operación</w:t>
            </w:r>
          </w:p>
        </w:tc>
        <w:tc>
          <w:tcPr>
            <w:tcW w:w="1470" w:type="dxa"/>
            <w:hideMark/>
          </w:tcPr>
          <w:p w14:paraId="1CE15319" w14:textId="77777777" w:rsidR="00101059" w:rsidRPr="00021AAD"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sidRPr="00021AAD">
              <w:rPr>
                <w:rFonts w:eastAsia="Times New Roman"/>
                <w:sz w:val="12"/>
                <w:szCs w:val="12"/>
                <w:lang w:eastAsia="es-CO"/>
              </w:rPr>
              <w:t>Modelos colaborativos público</w:t>
            </w:r>
            <w:r>
              <w:rPr>
                <w:rFonts w:eastAsia="Times New Roman"/>
                <w:sz w:val="12"/>
                <w:szCs w:val="12"/>
                <w:lang w:eastAsia="es-CO"/>
              </w:rPr>
              <w:t xml:space="preserve"> – </w:t>
            </w:r>
            <w:r w:rsidRPr="00021AAD">
              <w:rPr>
                <w:rFonts w:eastAsia="Times New Roman"/>
                <w:sz w:val="12"/>
                <w:szCs w:val="12"/>
                <w:lang w:eastAsia="es-CO"/>
              </w:rPr>
              <w:t>privado</w:t>
            </w:r>
            <w:r>
              <w:rPr>
                <w:rFonts w:eastAsia="Times New Roman"/>
                <w:sz w:val="12"/>
                <w:szCs w:val="12"/>
                <w:lang w:eastAsia="es-CO"/>
              </w:rPr>
              <w:t xml:space="preserve"> -</w:t>
            </w:r>
            <w:r w:rsidRPr="00021AAD">
              <w:rPr>
                <w:rFonts w:eastAsia="Times New Roman"/>
                <w:sz w:val="12"/>
                <w:szCs w:val="12"/>
                <w:lang w:eastAsia="es-CO"/>
              </w:rPr>
              <w:t>comunitarios y redes locales actúan como “meta-organización” que reduce costos, aumenta escala, facilita innovación, fortalece resiliencia y permite coordinación territorial (estándares, promoción, gestión de destino).</w:t>
            </w:r>
          </w:p>
        </w:tc>
        <w:tc>
          <w:tcPr>
            <w:tcW w:w="1283" w:type="dxa"/>
            <w:hideMark/>
          </w:tcPr>
          <w:p w14:paraId="0B3DB43C"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xml:space="preserve">- </w:t>
            </w:r>
            <w:r w:rsidRPr="00021AAD">
              <w:rPr>
                <w:rFonts w:eastAsia="Times New Roman"/>
                <w:sz w:val="12"/>
                <w:szCs w:val="12"/>
                <w:lang w:eastAsia="es-CO"/>
              </w:rPr>
              <w:t>No se observan organizaciones comunitarias ni redes cooperativas con posicionamiento digital sólido</w:t>
            </w:r>
            <w:r>
              <w:rPr>
                <w:rFonts w:eastAsia="Times New Roman"/>
                <w:sz w:val="12"/>
                <w:szCs w:val="12"/>
                <w:lang w:eastAsia="es-CO"/>
              </w:rPr>
              <w:t>.</w:t>
            </w:r>
          </w:p>
          <w:p w14:paraId="59382694"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p>
          <w:p w14:paraId="5A2CF23A"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C</w:t>
            </w:r>
            <w:r w:rsidRPr="00021AAD">
              <w:rPr>
                <w:rFonts w:eastAsia="Times New Roman"/>
                <w:sz w:val="12"/>
                <w:szCs w:val="12"/>
                <w:lang w:eastAsia="es-CO"/>
              </w:rPr>
              <w:t>olaboración se infiere solo por integración de terceros en paquetes (transporte, alimentación, hospedaje), pero sin identidad colectiva visible</w:t>
            </w:r>
            <w:r>
              <w:rPr>
                <w:rFonts w:eastAsia="Times New Roman"/>
                <w:sz w:val="12"/>
                <w:szCs w:val="12"/>
                <w:lang w:eastAsia="es-CO"/>
              </w:rPr>
              <w:t>.</w:t>
            </w:r>
          </w:p>
          <w:p w14:paraId="09557B95"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p>
          <w:p w14:paraId="2F72B4CF" w14:textId="77777777" w:rsidR="00101059" w:rsidRPr="00021AAD"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P</w:t>
            </w:r>
            <w:r w:rsidRPr="00021AAD">
              <w:rPr>
                <w:rFonts w:eastAsia="Times New Roman"/>
                <w:sz w:val="12"/>
                <w:szCs w:val="12"/>
                <w:lang w:eastAsia="es-CO"/>
              </w:rPr>
              <w:t>redominan unidades familiares y marcas personales como lógica operativa.</w:t>
            </w:r>
          </w:p>
        </w:tc>
        <w:tc>
          <w:tcPr>
            <w:tcW w:w="1211" w:type="dxa"/>
            <w:hideMark/>
          </w:tcPr>
          <w:p w14:paraId="5E8F2D15"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xml:space="preserve">- </w:t>
            </w:r>
            <w:r w:rsidRPr="00021AAD">
              <w:rPr>
                <w:rFonts w:eastAsia="Times New Roman"/>
                <w:sz w:val="12"/>
                <w:szCs w:val="12"/>
                <w:lang w:eastAsia="es-CO"/>
              </w:rPr>
              <w:t xml:space="preserve">Tejido </w:t>
            </w:r>
            <w:r>
              <w:rPr>
                <w:rFonts w:eastAsia="Times New Roman"/>
                <w:sz w:val="12"/>
                <w:szCs w:val="12"/>
                <w:lang w:eastAsia="es-CO"/>
              </w:rPr>
              <w:t xml:space="preserve">altamente </w:t>
            </w:r>
            <w:r w:rsidRPr="00021AAD">
              <w:rPr>
                <w:rFonts w:eastAsia="Times New Roman"/>
                <w:sz w:val="12"/>
                <w:szCs w:val="12"/>
                <w:lang w:eastAsia="es-CO"/>
              </w:rPr>
              <w:t>fragmentado</w:t>
            </w:r>
            <w:r>
              <w:rPr>
                <w:rFonts w:eastAsia="Times New Roman"/>
                <w:sz w:val="12"/>
                <w:szCs w:val="12"/>
                <w:lang w:eastAsia="es-CO"/>
              </w:rPr>
              <w:t>.</w:t>
            </w:r>
          </w:p>
          <w:p w14:paraId="35C16E33"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p>
          <w:p w14:paraId="58AD5FC3"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D</w:t>
            </w:r>
            <w:r w:rsidRPr="00021AAD">
              <w:rPr>
                <w:rFonts w:eastAsia="Times New Roman"/>
                <w:sz w:val="12"/>
                <w:szCs w:val="12"/>
                <w:lang w:eastAsia="es-CO"/>
              </w:rPr>
              <w:t>ébil articulación clúster; predominio de micro unidades</w:t>
            </w:r>
            <w:r>
              <w:rPr>
                <w:rFonts w:eastAsia="Times New Roman"/>
                <w:sz w:val="12"/>
                <w:szCs w:val="12"/>
                <w:lang w:eastAsia="es-CO"/>
              </w:rPr>
              <w:t>.</w:t>
            </w:r>
          </w:p>
          <w:p w14:paraId="0E3F8F63"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p>
          <w:p w14:paraId="376C90BF"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I</w:t>
            </w:r>
            <w:r w:rsidRPr="00021AAD">
              <w:rPr>
                <w:rFonts w:eastAsia="Times New Roman"/>
                <w:sz w:val="12"/>
                <w:szCs w:val="12"/>
                <w:lang w:eastAsia="es-CO"/>
              </w:rPr>
              <w:t>nformalidad en intermediación</w:t>
            </w:r>
            <w:r>
              <w:rPr>
                <w:rFonts w:eastAsia="Times New Roman"/>
                <w:sz w:val="12"/>
                <w:szCs w:val="12"/>
                <w:lang w:eastAsia="es-CO"/>
              </w:rPr>
              <w:t>.</w:t>
            </w:r>
          </w:p>
          <w:p w14:paraId="5AF9C9AD"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p>
          <w:p w14:paraId="3BBAC6F7" w14:textId="77777777" w:rsidR="00101059" w:rsidRPr="00021AAD"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P</w:t>
            </w:r>
            <w:r w:rsidRPr="00021AAD">
              <w:rPr>
                <w:rFonts w:eastAsia="Times New Roman"/>
                <w:sz w:val="12"/>
                <w:szCs w:val="12"/>
                <w:lang w:eastAsia="es-CO"/>
              </w:rPr>
              <w:t>lanes estratégicos promueven articulación, pero existe brecha en ejecución y consolidación de gobernanza.</w:t>
            </w:r>
          </w:p>
        </w:tc>
        <w:tc>
          <w:tcPr>
            <w:tcW w:w="1281" w:type="dxa"/>
            <w:hideMark/>
          </w:tcPr>
          <w:p w14:paraId="076FD8C3"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sidRPr="00021AAD">
              <w:rPr>
                <w:rFonts w:eastAsia="Times New Roman"/>
                <w:sz w:val="12"/>
                <w:szCs w:val="12"/>
                <w:lang w:eastAsia="es-CO"/>
              </w:rPr>
              <w:t>Reconocimiento transversal de que las redes y articulaciones son deseables para aumentar escala, profesionalizar procesos y construir marca-destino</w:t>
            </w:r>
            <w:r>
              <w:rPr>
                <w:rFonts w:eastAsia="Times New Roman"/>
                <w:sz w:val="12"/>
                <w:szCs w:val="12"/>
                <w:lang w:eastAsia="es-CO"/>
              </w:rPr>
              <w:t>.</w:t>
            </w:r>
          </w:p>
          <w:p w14:paraId="68DB5AF3"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p>
          <w:p w14:paraId="423CF943" w14:textId="77777777" w:rsidR="00101059" w:rsidRPr="00021AAD"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S</w:t>
            </w:r>
            <w:r w:rsidRPr="00021AAD">
              <w:rPr>
                <w:rFonts w:eastAsia="Times New Roman"/>
                <w:sz w:val="12"/>
                <w:szCs w:val="12"/>
                <w:lang w:eastAsia="es-CO"/>
              </w:rPr>
              <w:t>e identifica cadena de valor real, aunque no formalizada.</w:t>
            </w:r>
          </w:p>
        </w:tc>
        <w:tc>
          <w:tcPr>
            <w:tcW w:w="1559" w:type="dxa"/>
            <w:hideMark/>
          </w:tcPr>
          <w:p w14:paraId="38336924"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xml:space="preserve">- </w:t>
            </w:r>
            <w:r w:rsidRPr="00021AAD">
              <w:rPr>
                <w:rFonts w:eastAsia="Times New Roman"/>
                <w:sz w:val="12"/>
                <w:szCs w:val="12"/>
                <w:lang w:eastAsia="es-CO"/>
              </w:rPr>
              <w:t>La colaboración recomendada en literatura no se expresa de forma robusta en el ecosistema digital</w:t>
            </w:r>
            <w:r>
              <w:rPr>
                <w:rFonts w:eastAsia="Times New Roman"/>
                <w:sz w:val="12"/>
                <w:szCs w:val="12"/>
                <w:lang w:eastAsia="es-CO"/>
              </w:rPr>
              <w:t>.</w:t>
            </w:r>
          </w:p>
          <w:p w14:paraId="27554FD7"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p>
          <w:p w14:paraId="0EE4A2B5"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L</w:t>
            </w:r>
            <w:r w:rsidRPr="00021AAD">
              <w:rPr>
                <w:rFonts w:eastAsia="Times New Roman"/>
                <w:sz w:val="12"/>
                <w:szCs w:val="12"/>
                <w:lang w:eastAsia="es-CO"/>
              </w:rPr>
              <w:t>a fragmentación limita economías de escala, estandarización y visibilidad agregada</w:t>
            </w:r>
            <w:r>
              <w:rPr>
                <w:rFonts w:eastAsia="Times New Roman"/>
                <w:sz w:val="12"/>
                <w:szCs w:val="12"/>
                <w:lang w:eastAsia="es-CO"/>
              </w:rPr>
              <w:t>.</w:t>
            </w:r>
          </w:p>
          <w:p w14:paraId="7442A4AF"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p>
          <w:p w14:paraId="3BB4D0D9" w14:textId="77777777" w:rsidR="00101059" w:rsidRPr="00021AAD"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L</w:t>
            </w:r>
            <w:r w:rsidRPr="00021AAD">
              <w:rPr>
                <w:rFonts w:eastAsia="Times New Roman"/>
                <w:sz w:val="12"/>
                <w:szCs w:val="12"/>
                <w:lang w:eastAsia="es-CO"/>
              </w:rPr>
              <w:t>a articulación operativa existe, pero es informal y no gobernada.</w:t>
            </w:r>
          </w:p>
        </w:tc>
        <w:tc>
          <w:tcPr>
            <w:tcW w:w="1422" w:type="dxa"/>
            <w:hideMark/>
          </w:tcPr>
          <w:p w14:paraId="22BCF7AA"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xml:space="preserve">- </w:t>
            </w:r>
            <w:r w:rsidRPr="00021AAD">
              <w:rPr>
                <w:rFonts w:eastAsia="Times New Roman"/>
                <w:sz w:val="12"/>
                <w:szCs w:val="12"/>
                <w:lang w:eastAsia="es-CO"/>
              </w:rPr>
              <w:t xml:space="preserve">Crear </w:t>
            </w:r>
            <w:proofErr w:type="spellStart"/>
            <w:r w:rsidRPr="00021AAD">
              <w:rPr>
                <w:rFonts w:eastAsia="Times New Roman"/>
                <w:sz w:val="12"/>
                <w:szCs w:val="12"/>
                <w:lang w:eastAsia="es-CO"/>
              </w:rPr>
              <w:t>marketplace</w:t>
            </w:r>
            <w:proofErr w:type="spellEnd"/>
            <w:r w:rsidRPr="00021AAD">
              <w:rPr>
                <w:rFonts w:eastAsia="Times New Roman"/>
                <w:sz w:val="12"/>
                <w:szCs w:val="12"/>
                <w:lang w:eastAsia="es-CO"/>
              </w:rPr>
              <w:t xml:space="preserve"> regional con verificación mínima (RNT/protocolos)</w:t>
            </w:r>
            <w:r>
              <w:rPr>
                <w:rFonts w:eastAsia="Times New Roman"/>
                <w:sz w:val="12"/>
                <w:szCs w:val="12"/>
                <w:lang w:eastAsia="es-CO"/>
              </w:rPr>
              <w:t>.</w:t>
            </w:r>
          </w:p>
          <w:p w14:paraId="4675FEA3"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p>
          <w:p w14:paraId="37B690CD"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C</w:t>
            </w:r>
            <w:r w:rsidRPr="00021AAD">
              <w:rPr>
                <w:rFonts w:eastAsia="Times New Roman"/>
                <w:sz w:val="12"/>
                <w:szCs w:val="12"/>
                <w:lang w:eastAsia="es-CO"/>
              </w:rPr>
              <w:t xml:space="preserve">ampañas de </w:t>
            </w:r>
            <w:proofErr w:type="spellStart"/>
            <w:r w:rsidRPr="00021AAD">
              <w:rPr>
                <w:rFonts w:eastAsia="Times New Roman"/>
                <w:sz w:val="12"/>
                <w:szCs w:val="12"/>
                <w:lang w:eastAsia="es-CO"/>
              </w:rPr>
              <w:t>co-marketing</w:t>
            </w:r>
            <w:proofErr w:type="spellEnd"/>
            <w:r w:rsidRPr="00021AAD">
              <w:rPr>
                <w:rFonts w:eastAsia="Times New Roman"/>
                <w:sz w:val="12"/>
                <w:szCs w:val="12"/>
                <w:lang w:eastAsia="es-CO"/>
              </w:rPr>
              <w:t xml:space="preserve"> con reglas claras</w:t>
            </w:r>
            <w:r>
              <w:rPr>
                <w:rFonts w:eastAsia="Times New Roman"/>
                <w:sz w:val="12"/>
                <w:szCs w:val="12"/>
                <w:lang w:eastAsia="es-CO"/>
              </w:rPr>
              <w:t>.</w:t>
            </w:r>
          </w:p>
          <w:p w14:paraId="71DDDD4A"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p>
          <w:p w14:paraId="677F5166"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G</w:t>
            </w:r>
            <w:r w:rsidRPr="00021AAD">
              <w:rPr>
                <w:rFonts w:eastAsia="Times New Roman"/>
                <w:sz w:val="12"/>
                <w:szCs w:val="12"/>
                <w:lang w:eastAsia="es-CO"/>
              </w:rPr>
              <w:t>obernanza ligera (nodos territoriales, acuerdos simples, reparto de costos/beneficios)</w:t>
            </w:r>
            <w:r>
              <w:rPr>
                <w:rFonts w:eastAsia="Times New Roman"/>
                <w:sz w:val="12"/>
                <w:szCs w:val="12"/>
                <w:lang w:eastAsia="es-CO"/>
              </w:rPr>
              <w:t>.</w:t>
            </w:r>
          </w:p>
          <w:p w14:paraId="1A629717"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p>
          <w:p w14:paraId="534B0972"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S</w:t>
            </w:r>
            <w:r w:rsidRPr="00021AAD">
              <w:rPr>
                <w:rFonts w:eastAsia="Times New Roman"/>
                <w:sz w:val="12"/>
                <w:szCs w:val="12"/>
                <w:lang w:eastAsia="es-CO"/>
              </w:rPr>
              <w:t>ello colectivo regional de confianza y seguridad</w:t>
            </w:r>
            <w:r>
              <w:rPr>
                <w:rFonts w:eastAsia="Times New Roman"/>
                <w:sz w:val="12"/>
                <w:szCs w:val="12"/>
                <w:lang w:eastAsia="es-CO"/>
              </w:rPr>
              <w:t>.</w:t>
            </w:r>
          </w:p>
          <w:p w14:paraId="00B64E2F" w14:textId="77777777" w:rsidR="00101059"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p>
          <w:p w14:paraId="6CE20689" w14:textId="77777777" w:rsidR="00101059" w:rsidRPr="00021AAD" w:rsidRDefault="00101059" w:rsidP="00831F13">
            <w:pPr>
              <w:spacing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I</w:t>
            </w:r>
            <w:r w:rsidRPr="00021AAD">
              <w:rPr>
                <w:rFonts w:eastAsia="Times New Roman"/>
                <w:sz w:val="12"/>
                <w:szCs w:val="12"/>
                <w:lang w:eastAsia="es-CO"/>
              </w:rPr>
              <w:t>ncentivos públicos a paquetes integrados formalizables.</w:t>
            </w:r>
          </w:p>
        </w:tc>
      </w:tr>
      <w:tr w:rsidR="00101059" w:rsidRPr="00021AAD" w14:paraId="75673834" w14:textId="77777777" w:rsidTr="00831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hideMark/>
          </w:tcPr>
          <w:p w14:paraId="45467AA4" w14:textId="77777777" w:rsidR="00101059" w:rsidRPr="00021AAD" w:rsidRDefault="00101059" w:rsidP="00831F13">
            <w:pPr>
              <w:spacing w:line="240" w:lineRule="auto"/>
              <w:ind w:firstLine="0"/>
              <w:jc w:val="center"/>
              <w:rPr>
                <w:rFonts w:eastAsia="Times New Roman"/>
                <w:sz w:val="12"/>
                <w:szCs w:val="12"/>
                <w:lang w:eastAsia="es-CO"/>
              </w:rPr>
            </w:pPr>
            <w:r w:rsidRPr="00021AAD">
              <w:rPr>
                <w:rFonts w:eastAsia="Times New Roman"/>
                <w:sz w:val="12"/>
                <w:szCs w:val="12"/>
                <w:lang w:eastAsia="es-CO"/>
              </w:rPr>
              <w:t>Sostenibilidad</w:t>
            </w:r>
          </w:p>
        </w:tc>
        <w:tc>
          <w:tcPr>
            <w:tcW w:w="1470" w:type="dxa"/>
            <w:hideMark/>
          </w:tcPr>
          <w:p w14:paraId="3BDBC064"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sidRPr="00021AAD">
              <w:rPr>
                <w:rFonts w:eastAsia="Times New Roman"/>
                <w:sz w:val="12"/>
                <w:szCs w:val="12"/>
                <w:lang w:eastAsia="es-CO"/>
              </w:rPr>
              <w:t>Gobernanza verde y estándares mínimos se asocian con mejor desempeño del ecoturismo</w:t>
            </w:r>
            <w:r>
              <w:rPr>
                <w:rFonts w:eastAsia="Times New Roman"/>
                <w:sz w:val="12"/>
                <w:szCs w:val="12"/>
                <w:lang w:eastAsia="es-CO"/>
              </w:rPr>
              <w:t>.</w:t>
            </w:r>
          </w:p>
          <w:p w14:paraId="78709BDC"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13183778"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L</w:t>
            </w:r>
            <w:r w:rsidRPr="00021AAD">
              <w:rPr>
                <w:rFonts w:eastAsia="Times New Roman"/>
                <w:sz w:val="12"/>
                <w:szCs w:val="12"/>
                <w:lang w:eastAsia="es-CO"/>
              </w:rPr>
              <w:t>a sostenibilidad requiere controles operativos, gestión de impactos y financiamiento/soporte para su adopción</w:t>
            </w:r>
            <w:r>
              <w:rPr>
                <w:rFonts w:eastAsia="Times New Roman"/>
                <w:sz w:val="12"/>
                <w:szCs w:val="12"/>
                <w:lang w:eastAsia="es-CO"/>
              </w:rPr>
              <w:t>.</w:t>
            </w:r>
          </w:p>
          <w:p w14:paraId="2314A37A"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69D05197" w14:textId="77777777" w:rsidR="00101059" w:rsidRPr="00021AAD"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D</w:t>
            </w:r>
            <w:r w:rsidRPr="00021AAD">
              <w:rPr>
                <w:rFonts w:eastAsia="Times New Roman"/>
                <w:sz w:val="12"/>
                <w:szCs w:val="12"/>
                <w:lang w:eastAsia="es-CO"/>
              </w:rPr>
              <w:t>estinos frágiles requieren gestión de capacidad de carga y trazabilidad de prácticas.</w:t>
            </w:r>
          </w:p>
        </w:tc>
        <w:tc>
          <w:tcPr>
            <w:tcW w:w="1283" w:type="dxa"/>
            <w:hideMark/>
          </w:tcPr>
          <w:p w14:paraId="77D6F8A0"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sidRPr="00021AAD">
              <w:rPr>
                <w:rFonts w:eastAsia="Times New Roman"/>
                <w:sz w:val="12"/>
                <w:szCs w:val="12"/>
                <w:lang w:eastAsia="es-CO"/>
              </w:rPr>
              <w:t>Narrativas de sostenibilidad aparecen de forma dispersa, pero la evidencia verificable es baja</w:t>
            </w:r>
            <w:r>
              <w:rPr>
                <w:rFonts w:eastAsia="Times New Roman"/>
                <w:sz w:val="12"/>
                <w:szCs w:val="12"/>
                <w:lang w:eastAsia="es-CO"/>
              </w:rPr>
              <w:t>.</w:t>
            </w:r>
          </w:p>
          <w:p w14:paraId="0D0D0C1D"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P</w:t>
            </w:r>
            <w:r w:rsidRPr="00021AAD">
              <w:rPr>
                <w:rFonts w:eastAsia="Times New Roman"/>
                <w:sz w:val="12"/>
                <w:szCs w:val="12"/>
                <w:lang w:eastAsia="es-CO"/>
              </w:rPr>
              <w:t>redomina promoción basada en emoción, paisaje y precio</w:t>
            </w:r>
            <w:r>
              <w:rPr>
                <w:rFonts w:eastAsia="Times New Roman"/>
                <w:sz w:val="12"/>
                <w:szCs w:val="12"/>
                <w:lang w:eastAsia="es-CO"/>
              </w:rPr>
              <w:t>.</w:t>
            </w:r>
          </w:p>
          <w:p w14:paraId="48965CEC"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4B779FE7"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P</w:t>
            </w:r>
            <w:r w:rsidRPr="00021AAD">
              <w:rPr>
                <w:rFonts w:eastAsia="Times New Roman"/>
                <w:sz w:val="12"/>
                <w:szCs w:val="12"/>
                <w:lang w:eastAsia="es-CO"/>
              </w:rPr>
              <w:t>oca documentación de prácticas ambientales o protocolos</w:t>
            </w:r>
            <w:r>
              <w:rPr>
                <w:rFonts w:eastAsia="Times New Roman"/>
                <w:sz w:val="12"/>
                <w:szCs w:val="12"/>
                <w:lang w:eastAsia="es-CO"/>
              </w:rPr>
              <w:t>.</w:t>
            </w:r>
          </w:p>
          <w:p w14:paraId="473E3669"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38BA3DA6" w14:textId="77777777" w:rsidR="00101059" w:rsidRPr="00021AAD"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N</w:t>
            </w:r>
            <w:r w:rsidRPr="00021AAD">
              <w:rPr>
                <w:rFonts w:eastAsia="Times New Roman"/>
                <w:sz w:val="12"/>
                <w:szCs w:val="12"/>
                <w:lang w:eastAsia="es-CO"/>
              </w:rPr>
              <w:t>o se observa control de flujos o capacidad de carga en la comunicación.</w:t>
            </w:r>
          </w:p>
        </w:tc>
        <w:tc>
          <w:tcPr>
            <w:tcW w:w="1211" w:type="dxa"/>
            <w:hideMark/>
          </w:tcPr>
          <w:p w14:paraId="5BDBEB89"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xml:space="preserve">- </w:t>
            </w:r>
            <w:r w:rsidRPr="00021AAD">
              <w:rPr>
                <w:rFonts w:eastAsia="Times New Roman"/>
                <w:sz w:val="12"/>
                <w:szCs w:val="12"/>
                <w:lang w:eastAsia="es-CO"/>
              </w:rPr>
              <w:t>Exigencias normativas (RNT, pólizas, protocolos) funcionan como piso de formalidad; baja adopción de sellos y certificaciones</w:t>
            </w:r>
            <w:r>
              <w:rPr>
                <w:rFonts w:eastAsia="Times New Roman"/>
                <w:sz w:val="12"/>
                <w:szCs w:val="12"/>
                <w:lang w:eastAsia="es-CO"/>
              </w:rPr>
              <w:t>.</w:t>
            </w:r>
          </w:p>
          <w:p w14:paraId="1EE7C5A2"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3C9589AE"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L</w:t>
            </w:r>
            <w:r w:rsidRPr="00021AAD">
              <w:rPr>
                <w:rFonts w:eastAsia="Times New Roman"/>
                <w:sz w:val="12"/>
                <w:szCs w:val="12"/>
                <w:lang w:eastAsia="es-CO"/>
              </w:rPr>
              <w:t>imitaciones institucionales para monitorear capacidad de carga</w:t>
            </w:r>
            <w:r>
              <w:rPr>
                <w:rFonts w:eastAsia="Times New Roman"/>
                <w:sz w:val="12"/>
                <w:szCs w:val="12"/>
                <w:lang w:eastAsia="es-CO"/>
              </w:rPr>
              <w:t>.</w:t>
            </w:r>
          </w:p>
          <w:p w14:paraId="4FCFAA08"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6CBADC3B"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N</w:t>
            </w:r>
            <w:r w:rsidRPr="00021AAD">
              <w:rPr>
                <w:rFonts w:eastAsia="Times New Roman"/>
                <w:sz w:val="12"/>
                <w:szCs w:val="12"/>
                <w:lang w:eastAsia="es-CO"/>
              </w:rPr>
              <w:t>ecesidad de control territorial en ecosistemas frágiles</w:t>
            </w:r>
            <w:r>
              <w:rPr>
                <w:rFonts w:eastAsia="Times New Roman"/>
                <w:sz w:val="12"/>
                <w:szCs w:val="12"/>
                <w:lang w:eastAsia="es-CO"/>
              </w:rPr>
              <w:t>.</w:t>
            </w:r>
          </w:p>
          <w:p w14:paraId="579FAFC7"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2427584F" w14:textId="77777777" w:rsidR="00101059" w:rsidRPr="00021AAD"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tc>
        <w:tc>
          <w:tcPr>
            <w:tcW w:w="1281" w:type="dxa"/>
            <w:hideMark/>
          </w:tcPr>
          <w:p w14:paraId="1473A193"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xml:space="preserve">- </w:t>
            </w:r>
            <w:r w:rsidRPr="00021AAD">
              <w:rPr>
                <w:rFonts w:eastAsia="Times New Roman"/>
                <w:sz w:val="12"/>
                <w:szCs w:val="12"/>
                <w:lang w:eastAsia="es-CO"/>
              </w:rPr>
              <w:t>Consenso en que estándares mínimos, seguridad y seguimiento importan</w:t>
            </w:r>
            <w:r>
              <w:rPr>
                <w:rFonts w:eastAsia="Times New Roman"/>
                <w:sz w:val="12"/>
                <w:szCs w:val="12"/>
                <w:lang w:eastAsia="es-CO"/>
              </w:rPr>
              <w:t>.</w:t>
            </w:r>
          </w:p>
          <w:p w14:paraId="330A33D5"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29734B65" w14:textId="77777777" w:rsidR="00101059" w:rsidRPr="00021AAD"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E</w:t>
            </w:r>
            <w:r w:rsidRPr="00021AAD">
              <w:rPr>
                <w:rFonts w:eastAsia="Times New Roman"/>
                <w:sz w:val="12"/>
                <w:szCs w:val="12"/>
                <w:lang w:eastAsia="es-CO"/>
              </w:rPr>
              <w:t>xiste base normativa que estructura el “piso” de sostenibilidad.</w:t>
            </w:r>
          </w:p>
        </w:tc>
        <w:tc>
          <w:tcPr>
            <w:tcW w:w="1559" w:type="dxa"/>
            <w:hideMark/>
          </w:tcPr>
          <w:p w14:paraId="47203370"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xml:space="preserve">- </w:t>
            </w:r>
            <w:r w:rsidRPr="00021AAD">
              <w:rPr>
                <w:rFonts w:eastAsia="Times New Roman"/>
                <w:sz w:val="12"/>
                <w:szCs w:val="12"/>
                <w:lang w:eastAsia="es-CO"/>
              </w:rPr>
              <w:t xml:space="preserve">Brecha entre discurso y práctica: sostenibilidad no auditada ni trazable </w:t>
            </w:r>
            <w:r>
              <w:rPr>
                <w:rFonts w:eastAsia="Times New Roman"/>
                <w:sz w:val="12"/>
                <w:szCs w:val="12"/>
                <w:lang w:eastAsia="es-CO"/>
              </w:rPr>
              <w:t>evidenciable desde el análisis digital realizado.</w:t>
            </w:r>
          </w:p>
          <w:p w14:paraId="3962300C"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06DA0678"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M</w:t>
            </w:r>
            <w:r w:rsidRPr="00021AAD">
              <w:rPr>
                <w:rFonts w:eastAsia="Times New Roman"/>
                <w:sz w:val="12"/>
                <w:szCs w:val="12"/>
                <w:lang w:eastAsia="es-CO"/>
              </w:rPr>
              <w:t>icroescala y subsistencia tienden a priorizar liquidez inmediata sobre inversión en sostenibilidad</w:t>
            </w:r>
            <w:r>
              <w:rPr>
                <w:rFonts w:eastAsia="Times New Roman"/>
                <w:sz w:val="12"/>
                <w:szCs w:val="12"/>
                <w:lang w:eastAsia="es-CO"/>
              </w:rPr>
              <w:t>.</w:t>
            </w:r>
          </w:p>
          <w:p w14:paraId="7536CF5B"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52BDC4E0" w14:textId="77777777" w:rsidR="00101059" w:rsidRPr="00021AAD"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xml:space="preserve">- </w:t>
            </w:r>
            <w:r w:rsidRPr="00021AAD">
              <w:rPr>
                <w:rFonts w:eastAsia="Times New Roman"/>
                <w:sz w:val="12"/>
                <w:szCs w:val="12"/>
                <w:lang w:eastAsia="es-CO"/>
              </w:rPr>
              <w:t>control de capacidad de carga incipiente y difícil de implementar.</w:t>
            </w:r>
          </w:p>
        </w:tc>
        <w:tc>
          <w:tcPr>
            <w:tcW w:w="1422" w:type="dxa"/>
            <w:hideMark/>
          </w:tcPr>
          <w:p w14:paraId="5536B817"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xml:space="preserve">- </w:t>
            </w:r>
            <w:r w:rsidRPr="00021AAD">
              <w:rPr>
                <w:rFonts w:eastAsia="Times New Roman"/>
                <w:sz w:val="12"/>
                <w:szCs w:val="12"/>
                <w:lang w:eastAsia="es-CO"/>
              </w:rPr>
              <w:t>Mínimos exigibles por actividad (guías acreditados, pólizas, protocolos)</w:t>
            </w:r>
            <w:r>
              <w:rPr>
                <w:rFonts w:eastAsia="Times New Roman"/>
                <w:sz w:val="12"/>
                <w:szCs w:val="12"/>
                <w:lang w:eastAsia="es-CO"/>
              </w:rPr>
              <w:t>.</w:t>
            </w:r>
          </w:p>
          <w:p w14:paraId="2F4127B8"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C</w:t>
            </w:r>
            <w:r w:rsidRPr="00021AAD">
              <w:rPr>
                <w:rFonts w:eastAsia="Times New Roman"/>
                <w:sz w:val="12"/>
                <w:szCs w:val="12"/>
                <w:lang w:eastAsia="es-CO"/>
              </w:rPr>
              <w:t>ofinanciación escalonada para certificaciones</w:t>
            </w:r>
            <w:r>
              <w:rPr>
                <w:rFonts w:eastAsia="Times New Roman"/>
                <w:sz w:val="12"/>
                <w:szCs w:val="12"/>
                <w:lang w:eastAsia="es-CO"/>
              </w:rPr>
              <w:t>.</w:t>
            </w:r>
          </w:p>
          <w:p w14:paraId="719D7DC1"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C</w:t>
            </w:r>
            <w:r w:rsidRPr="00021AAD">
              <w:rPr>
                <w:rFonts w:eastAsia="Times New Roman"/>
                <w:sz w:val="12"/>
                <w:szCs w:val="12"/>
                <w:lang w:eastAsia="es-CO"/>
              </w:rPr>
              <w:t>ontrol focalizado en puntos críticos de acceso</w:t>
            </w:r>
            <w:r>
              <w:rPr>
                <w:rFonts w:eastAsia="Times New Roman"/>
                <w:sz w:val="12"/>
                <w:szCs w:val="12"/>
                <w:lang w:eastAsia="es-CO"/>
              </w:rPr>
              <w:t>.</w:t>
            </w:r>
          </w:p>
          <w:p w14:paraId="41EE52FE"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6EF2BA1B"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xml:space="preserve">- </w:t>
            </w:r>
            <w:r w:rsidRPr="00021AAD">
              <w:rPr>
                <w:rFonts w:eastAsia="Times New Roman"/>
                <w:sz w:val="12"/>
                <w:szCs w:val="12"/>
                <w:lang w:eastAsia="es-CO"/>
              </w:rPr>
              <w:t>KPIs públicos periódicos (residuos, incidentes, grupos/guía, cumplimiento)</w:t>
            </w:r>
            <w:r>
              <w:rPr>
                <w:rFonts w:eastAsia="Times New Roman"/>
                <w:sz w:val="12"/>
                <w:szCs w:val="12"/>
                <w:lang w:eastAsia="es-CO"/>
              </w:rPr>
              <w:t>.</w:t>
            </w:r>
          </w:p>
          <w:p w14:paraId="70DA83DC" w14:textId="77777777" w:rsidR="00101059"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p>
          <w:p w14:paraId="0A01780D" w14:textId="77777777" w:rsidR="00101059" w:rsidRPr="00021AAD" w:rsidRDefault="00101059" w:rsidP="00831F13">
            <w:pPr>
              <w:spacing w:line="240" w:lineRule="auto"/>
              <w:ind w:firstLine="0"/>
              <w:cnfStyle w:val="000000100000" w:firstRow="0" w:lastRow="0" w:firstColumn="0" w:lastColumn="0" w:oddVBand="0" w:evenVBand="0" w:oddHBand="1"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C</w:t>
            </w:r>
            <w:r w:rsidRPr="00021AAD">
              <w:rPr>
                <w:rFonts w:eastAsia="Times New Roman"/>
                <w:sz w:val="12"/>
                <w:szCs w:val="12"/>
                <w:lang w:eastAsia="es-CO"/>
              </w:rPr>
              <w:t>ampañas “compra formal = turismo seguro/sostenible” y pedagogía territorial.</w:t>
            </w:r>
          </w:p>
        </w:tc>
      </w:tr>
      <w:tr w:rsidR="00101059" w:rsidRPr="00021AAD" w14:paraId="281F7AAB" w14:textId="77777777" w:rsidTr="00831F13">
        <w:tc>
          <w:tcPr>
            <w:cnfStyle w:val="001000000000" w:firstRow="0" w:lastRow="0" w:firstColumn="1" w:lastColumn="0" w:oddVBand="0" w:evenVBand="0" w:oddHBand="0" w:evenHBand="0" w:firstRowFirstColumn="0" w:firstRowLastColumn="0" w:lastRowFirstColumn="0" w:lastRowLastColumn="0"/>
            <w:tcW w:w="1134" w:type="dxa"/>
            <w:hideMark/>
          </w:tcPr>
          <w:p w14:paraId="13E4068C" w14:textId="77777777" w:rsidR="00101059" w:rsidRPr="00021AAD" w:rsidRDefault="00101059" w:rsidP="00831F13">
            <w:pPr>
              <w:spacing w:line="240" w:lineRule="auto"/>
              <w:ind w:firstLine="0"/>
              <w:jc w:val="center"/>
              <w:rPr>
                <w:rFonts w:eastAsia="Times New Roman"/>
                <w:sz w:val="12"/>
                <w:szCs w:val="12"/>
                <w:lang w:eastAsia="es-CO"/>
              </w:rPr>
            </w:pPr>
            <w:r w:rsidRPr="00021AAD">
              <w:rPr>
                <w:rFonts w:eastAsia="Times New Roman"/>
                <w:sz w:val="12"/>
                <w:szCs w:val="12"/>
                <w:lang w:eastAsia="es-CO"/>
              </w:rPr>
              <w:t>Competitividad</w:t>
            </w:r>
          </w:p>
        </w:tc>
        <w:tc>
          <w:tcPr>
            <w:tcW w:w="1470" w:type="dxa"/>
            <w:hideMark/>
          </w:tcPr>
          <w:p w14:paraId="2DDBF2D1" w14:textId="77777777" w:rsidR="00101059"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xml:space="preserve">- </w:t>
            </w:r>
            <w:r w:rsidRPr="00021AAD">
              <w:rPr>
                <w:rFonts w:eastAsia="Times New Roman"/>
                <w:sz w:val="12"/>
                <w:szCs w:val="12"/>
                <w:lang w:eastAsia="es-CO"/>
              </w:rPr>
              <w:t>La competitividad en turismo de aventura requiere resiliencia, datos y trazabilidad</w:t>
            </w:r>
            <w:r>
              <w:rPr>
                <w:rFonts w:eastAsia="Times New Roman"/>
                <w:sz w:val="12"/>
                <w:szCs w:val="12"/>
                <w:lang w:eastAsia="es-CO"/>
              </w:rPr>
              <w:t>.</w:t>
            </w:r>
          </w:p>
          <w:p w14:paraId="69FEFA1D" w14:textId="77777777" w:rsidR="00101059"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p>
          <w:p w14:paraId="75CE2198" w14:textId="77777777" w:rsidR="00101059"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xml:space="preserve">- </w:t>
            </w:r>
            <w:proofErr w:type="spellStart"/>
            <w:r w:rsidRPr="00021AAD">
              <w:rPr>
                <w:rFonts w:eastAsia="Times New Roman"/>
                <w:sz w:val="12"/>
                <w:szCs w:val="12"/>
                <w:lang w:eastAsia="es-CO"/>
              </w:rPr>
              <w:t>co-marketing</w:t>
            </w:r>
            <w:proofErr w:type="spellEnd"/>
            <w:r w:rsidRPr="00021AAD">
              <w:rPr>
                <w:rFonts w:eastAsia="Times New Roman"/>
                <w:sz w:val="12"/>
                <w:szCs w:val="12"/>
                <w:lang w:eastAsia="es-CO"/>
              </w:rPr>
              <w:t>, redes y gobernanza reducen vulnerabilidad</w:t>
            </w:r>
            <w:r>
              <w:rPr>
                <w:rFonts w:eastAsia="Times New Roman"/>
                <w:sz w:val="12"/>
                <w:szCs w:val="12"/>
                <w:lang w:eastAsia="es-CO"/>
              </w:rPr>
              <w:t>.</w:t>
            </w:r>
          </w:p>
          <w:p w14:paraId="7FEBB61B" w14:textId="77777777" w:rsidR="00101059"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p>
          <w:p w14:paraId="10B62D9C" w14:textId="77777777" w:rsidR="00101059" w:rsidRPr="00021AAD"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L</w:t>
            </w:r>
            <w:r w:rsidRPr="00021AAD">
              <w:rPr>
                <w:rFonts w:eastAsia="Times New Roman"/>
                <w:sz w:val="12"/>
                <w:szCs w:val="12"/>
                <w:lang w:eastAsia="es-CO"/>
              </w:rPr>
              <w:t>a competitividad no depende solo de promoción sino de calidad, reputación, articulación e institucionalidad que permita medir y mejorar desempeño.</w:t>
            </w:r>
          </w:p>
        </w:tc>
        <w:tc>
          <w:tcPr>
            <w:tcW w:w="1283" w:type="dxa"/>
            <w:hideMark/>
          </w:tcPr>
          <w:p w14:paraId="380080A1" w14:textId="77777777" w:rsidR="00101059"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xml:space="preserve">- </w:t>
            </w:r>
            <w:r w:rsidRPr="00021AAD">
              <w:rPr>
                <w:rFonts w:eastAsia="Times New Roman"/>
                <w:sz w:val="12"/>
                <w:szCs w:val="12"/>
                <w:lang w:eastAsia="es-CO"/>
              </w:rPr>
              <w:t>Alta visibilidad y alcance en redes (especialmente influencers)</w:t>
            </w:r>
            <w:r>
              <w:rPr>
                <w:rFonts w:eastAsia="Times New Roman"/>
                <w:sz w:val="12"/>
                <w:szCs w:val="12"/>
                <w:lang w:eastAsia="es-CO"/>
              </w:rPr>
              <w:t>.</w:t>
            </w:r>
          </w:p>
          <w:p w14:paraId="06537ADB" w14:textId="77777777" w:rsidR="00101059"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p>
          <w:p w14:paraId="4B9CD948" w14:textId="77777777" w:rsidR="00101059"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C</w:t>
            </w:r>
            <w:r w:rsidRPr="00021AAD">
              <w:rPr>
                <w:rFonts w:eastAsia="Times New Roman"/>
                <w:sz w:val="12"/>
                <w:szCs w:val="12"/>
                <w:lang w:eastAsia="es-CO"/>
              </w:rPr>
              <w:t>oexistencia de oferta formal e informal; no es posible inferir desempeño económico ni cumplimiento desde métricas visibles</w:t>
            </w:r>
            <w:r>
              <w:rPr>
                <w:rFonts w:eastAsia="Times New Roman"/>
                <w:sz w:val="12"/>
                <w:szCs w:val="12"/>
                <w:lang w:eastAsia="es-CO"/>
              </w:rPr>
              <w:t>.</w:t>
            </w:r>
          </w:p>
          <w:p w14:paraId="5B48820F" w14:textId="77777777" w:rsidR="00101059"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p>
          <w:p w14:paraId="07B270AA" w14:textId="77777777" w:rsidR="00101059"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D</w:t>
            </w:r>
            <w:r w:rsidRPr="00021AAD">
              <w:rPr>
                <w:rFonts w:eastAsia="Times New Roman"/>
                <w:sz w:val="12"/>
                <w:szCs w:val="12"/>
                <w:lang w:eastAsia="es-CO"/>
              </w:rPr>
              <w:t>iferenciación comercial frecuente por precio/emoción</w:t>
            </w:r>
            <w:r>
              <w:rPr>
                <w:rFonts w:eastAsia="Times New Roman"/>
                <w:sz w:val="12"/>
                <w:szCs w:val="12"/>
                <w:lang w:eastAsia="es-CO"/>
              </w:rPr>
              <w:t>.</w:t>
            </w:r>
          </w:p>
          <w:p w14:paraId="6398DCDB" w14:textId="77777777" w:rsidR="00101059"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p>
          <w:p w14:paraId="7A5DB91D" w14:textId="77777777" w:rsidR="00101059" w:rsidRPr="00021AAD"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R</w:t>
            </w:r>
            <w:r w:rsidRPr="00021AAD">
              <w:rPr>
                <w:rFonts w:eastAsia="Times New Roman"/>
                <w:sz w:val="12"/>
                <w:szCs w:val="12"/>
                <w:lang w:eastAsia="es-CO"/>
              </w:rPr>
              <w:t>iesgo reputacional si ocurren incidentes con oferta no trazable.</w:t>
            </w:r>
          </w:p>
        </w:tc>
        <w:tc>
          <w:tcPr>
            <w:tcW w:w="1211" w:type="dxa"/>
            <w:hideMark/>
          </w:tcPr>
          <w:p w14:paraId="78937B87" w14:textId="77777777" w:rsidR="00101059"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xml:space="preserve">- </w:t>
            </w:r>
            <w:r w:rsidRPr="00021AAD">
              <w:rPr>
                <w:rFonts w:eastAsia="Times New Roman"/>
                <w:sz w:val="12"/>
                <w:szCs w:val="12"/>
                <w:lang w:eastAsia="es-CO"/>
              </w:rPr>
              <w:t>Caídas o rezagos en indicadores de competitividad</w:t>
            </w:r>
            <w:r>
              <w:rPr>
                <w:rFonts w:eastAsia="Times New Roman"/>
                <w:sz w:val="12"/>
                <w:szCs w:val="12"/>
                <w:lang w:eastAsia="es-CO"/>
              </w:rPr>
              <w:t>.</w:t>
            </w:r>
          </w:p>
          <w:p w14:paraId="4CF6DCC2" w14:textId="77777777" w:rsidR="00101059"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p>
          <w:p w14:paraId="357FDBEA" w14:textId="77777777" w:rsidR="00101059"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I</w:t>
            </w:r>
            <w:r w:rsidRPr="00021AAD">
              <w:rPr>
                <w:rFonts w:eastAsia="Times New Roman"/>
                <w:sz w:val="12"/>
                <w:szCs w:val="12"/>
                <w:lang w:eastAsia="es-CO"/>
              </w:rPr>
              <w:t>nformalidad laboral y empresarial alta; subregistro afecta PIB/empleo; bajo retorno parafiscal</w:t>
            </w:r>
            <w:r>
              <w:rPr>
                <w:rFonts w:eastAsia="Times New Roman"/>
                <w:sz w:val="12"/>
                <w:szCs w:val="12"/>
                <w:lang w:eastAsia="es-CO"/>
              </w:rPr>
              <w:t>.</w:t>
            </w:r>
          </w:p>
          <w:p w14:paraId="052466E5" w14:textId="77777777" w:rsidR="00101059"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p>
          <w:p w14:paraId="608C0C39" w14:textId="77777777" w:rsidR="00101059"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C</w:t>
            </w:r>
            <w:r w:rsidRPr="00021AAD">
              <w:rPr>
                <w:rFonts w:eastAsia="Times New Roman"/>
                <w:sz w:val="12"/>
                <w:szCs w:val="12"/>
                <w:lang w:eastAsia="es-CO"/>
              </w:rPr>
              <w:t>ompetencia de plataformas con dificultades de control</w:t>
            </w:r>
            <w:r>
              <w:rPr>
                <w:rFonts w:eastAsia="Times New Roman"/>
                <w:sz w:val="12"/>
                <w:szCs w:val="12"/>
                <w:lang w:eastAsia="es-CO"/>
              </w:rPr>
              <w:t>.</w:t>
            </w:r>
          </w:p>
          <w:p w14:paraId="77BDC6E9" w14:textId="77777777" w:rsidR="00101059"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p>
          <w:p w14:paraId="4684E18A" w14:textId="77777777" w:rsidR="00101059" w:rsidRPr="00021AAD"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Pr>
                <w:rFonts w:eastAsia="Times New Roman"/>
                <w:sz w:val="12"/>
                <w:szCs w:val="12"/>
                <w:lang w:eastAsia="es-CO"/>
              </w:rPr>
              <w:t>- L</w:t>
            </w:r>
            <w:r w:rsidRPr="00021AAD">
              <w:rPr>
                <w:rFonts w:eastAsia="Times New Roman"/>
                <w:sz w:val="12"/>
                <w:szCs w:val="12"/>
                <w:lang w:eastAsia="es-CO"/>
              </w:rPr>
              <w:t>a informalidad distorsiona métricas y reduce atractivo para inversión</w:t>
            </w:r>
            <w:r>
              <w:rPr>
                <w:rFonts w:eastAsia="Times New Roman"/>
                <w:sz w:val="12"/>
                <w:szCs w:val="12"/>
                <w:lang w:eastAsia="es-CO"/>
              </w:rPr>
              <w:t>. N</w:t>
            </w:r>
            <w:r w:rsidRPr="00021AAD">
              <w:rPr>
                <w:rFonts w:eastAsia="Times New Roman"/>
                <w:sz w:val="12"/>
                <w:szCs w:val="12"/>
                <w:lang w:eastAsia="es-CO"/>
              </w:rPr>
              <w:t>ecesidad de entornos previsibles.</w:t>
            </w:r>
          </w:p>
        </w:tc>
        <w:tc>
          <w:tcPr>
            <w:tcW w:w="1281" w:type="dxa"/>
            <w:hideMark/>
          </w:tcPr>
          <w:p w14:paraId="72CD3F93" w14:textId="77777777" w:rsidR="00101059"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sidRPr="00021AAD">
              <w:rPr>
                <w:rFonts w:eastAsia="Times New Roman"/>
                <w:sz w:val="12"/>
                <w:szCs w:val="12"/>
                <w:lang w:eastAsia="es-CO"/>
              </w:rPr>
              <w:t>Convergencia en que la competitividad exige medición, trazabilidad, calidad y gobernanza</w:t>
            </w:r>
            <w:r>
              <w:rPr>
                <w:rFonts w:eastAsia="Times New Roman"/>
                <w:sz w:val="12"/>
                <w:szCs w:val="12"/>
                <w:lang w:eastAsia="es-CO"/>
              </w:rPr>
              <w:t>.</w:t>
            </w:r>
          </w:p>
          <w:p w14:paraId="470CDF71" w14:textId="77777777" w:rsidR="00101059"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p>
          <w:p w14:paraId="53E4C166" w14:textId="77777777" w:rsidR="00101059" w:rsidRPr="00021AAD"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p>
        </w:tc>
        <w:tc>
          <w:tcPr>
            <w:tcW w:w="1559" w:type="dxa"/>
            <w:hideMark/>
          </w:tcPr>
          <w:p w14:paraId="09DC4D9C" w14:textId="77777777" w:rsidR="00101059" w:rsidRPr="00021AAD"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sidRPr="00021AAD">
              <w:rPr>
                <w:rFonts w:eastAsia="Times New Roman"/>
                <w:sz w:val="12"/>
                <w:szCs w:val="12"/>
                <w:lang w:eastAsia="es-CO"/>
              </w:rPr>
              <w:t>Éxito digital ≠ desempeño económico/formal; subregistro distorsiona rankings y decisiones de inversión; oferta informal compite por precio sin internalizar costos de cumplimiento, presionando al formal; círculo de retroalimentación “informalidad–menor recaudo–menor inversión–menor competitividad”.</w:t>
            </w:r>
          </w:p>
        </w:tc>
        <w:tc>
          <w:tcPr>
            <w:tcW w:w="1422" w:type="dxa"/>
            <w:hideMark/>
          </w:tcPr>
          <w:p w14:paraId="639A0E32" w14:textId="77777777" w:rsidR="00101059" w:rsidRPr="00021AAD" w:rsidRDefault="00101059" w:rsidP="00831F13">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sz w:val="12"/>
                <w:szCs w:val="12"/>
                <w:lang w:eastAsia="es-CO"/>
              </w:rPr>
            </w:pPr>
            <w:r w:rsidRPr="00021AAD">
              <w:rPr>
                <w:rFonts w:eastAsia="Times New Roman"/>
                <w:sz w:val="12"/>
                <w:szCs w:val="12"/>
                <w:lang w:eastAsia="es-CO"/>
              </w:rPr>
              <w:t>Interoperabilidad RNT–plataformas y mecanismos de verificación; metas de altas/renovaciones RNT por subsegmento; tablero de KPIs de competitividad; etiquetar una fracción del recaudo incremental a programas visibles (certificaciones, promoción, seguridad en naturaleza); fortalecimiento de marca-destino con sello colectivo y gobernanza clúster ligera.</w:t>
            </w:r>
          </w:p>
        </w:tc>
      </w:tr>
    </w:tbl>
    <w:p w14:paraId="5AB1B82E" w14:textId="77777777" w:rsidR="00101059" w:rsidRDefault="00101059" w:rsidP="00101059"/>
    <w:p w14:paraId="6EF3902E" w14:textId="77777777" w:rsidR="00101059" w:rsidRPr="005E3FFD" w:rsidRDefault="00101059" w:rsidP="00101059">
      <w:pPr>
        <w:pStyle w:val="Sinespaciado"/>
      </w:pPr>
      <w:r>
        <w:t>A continuación, se presenta un análisis de cada una de las categorías de análisis planteadas.</w:t>
      </w:r>
    </w:p>
    <w:p w14:paraId="10EF1BE4" w14:textId="77777777" w:rsidR="00101059" w:rsidRPr="005E3FFD" w:rsidRDefault="00101059" w:rsidP="00101059">
      <w:pPr>
        <w:pStyle w:val="Ttulo3"/>
      </w:pPr>
      <w:bookmarkStart w:id="44" w:name="_Toc218596646"/>
      <w:r w:rsidRPr="005E3FFD">
        <w:lastRenderedPageBreak/>
        <w:t>Prácticas de gestión</w:t>
      </w:r>
      <w:bookmarkEnd w:id="44"/>
    </w:p>
    <w:p w14:paraId="400DB1F3" w14:textId="77777777" w:rsidR="00101059" w:rsidRPr="005E3FFD" w:rsidRDefault="00101059" w:rsidP="001706FD">
      <w:pPr>
        <w:pStyle w:val="Sinespaciado"/>
        <w:spacing w:line="360" w:lineRule="auto"/>
      </w:pPr>
      <w:r>
        <w:rPr>
          <w:rStyle w:val="Textoennegrita"/>
          <w:b w:val="0"/>
          <w:bCs/>
        </w:rPr>
        <w:t>De manera independiente y de uso generalizado l</w:t>
      </w:r>
      <w:r w:rsidRPr="005E3FFD">
        <w:t xml:space="preserve">a literatura subraya la </w:t>
      </w:r>
      <w:r w:rsidRPr="005E3FFD">
        <w:rPr>
          <w:rStyle w:val="Textoennegrita"/>
          <w:b w:val="0"/>
          <w:bCs/>
        </w:rPr>
        <w:t>innovación incremental</w:t>
      </w:r>
      <w:r w:rsidRPr="005E3FFD">
        <w:t xml:space="preserve">, el uso de </w:t>
      </w:r>
      <w:r w:rsidRPr="005E3FFD">
        <w:rPr>
          <w:rStyle w:val="Textoennegrita"/>
          <w:b w:val="0"/>
          <w:bCs/>
        </w:rPr>
        <w:t>redes/plataformas</w:t>
      </w:r>
      <w:r w:rsidRPr="005E3FFD">
        <w:t xml:space="preserve"> </w:t>
      </w:r>
      <w:r>
        <w:t xml:space="preserve">empresariales </w:t>
      </w:r>
      <w:r w:rsidRPr="005E3FFD">
        <w:t xml:space="preserve">y la </w:t>
      </w:r>
      <w:r w:rsidRPr="005E3FFD">
        <w:rPr>
          <w:rStyle w:val="Textoennegrita"/>
          <w:b w:val="0"/>
          <w:bCs/>
        </w:rPr>
        <w:t>formación continua</w:t>
      </w:r>
      <w:r w:rsidRPr="005E3FFD">
        <w:t xml:space="preserve"> como motores del desempeño en MiPymes</w:t>
      </w:r>
      <w:r>
        <w:t xml:space="preserve"> como una buena práctica emergente en tendencia. En el contenido digital publicado si bien no se hace explicita mención a estas prácticas, de </w:t>
      </w:r>
      <w:r w:rsidRPr="005E3FFD">
        <w:t xml:space="preserve">los perfiles formales con mayor consistencia de marca </w:t>
      </w:r>
      <w:r>
        <w:t>es asumible de acuerdo a los resultados u</w:t>
      </w:r>
      <w:r w:rsidRPr="005E3FFD">
        <w:t xml:space="preserve">na </w:t>
      </w:r>
      <w:r w:rsidRPr="005E3FFD">
        <w:rPr>
          <w:rStyle w:val="Textoennegrita"/>
          <w:b w:val="0"/>
          <w:bCs/>
        </w:rPr>
        <w:t>gestión profesionalizada del contenido</w:t>
      </w:r>
      <w:r w:rsidRPr="005E3FFD">
        <w:t xml:space="preserve"> </w:t>
      </w:r>
      <w:r>
        <w:t xml:space="preserve">asociado a un </w:t>
      </w:r>
      <w:r w:rsidRPr="005E3FFD">
        <w:t xml:space="preserve">mejor posicionamiento. La evidencia institucional, por su parte, muestra que el tejido microempresarial requiere </w:t>
      </w:r>
      <w:r w:rsidRPr="005E3FFD">
        <w:rPr>
          <w:rStyle w:val="Textoennegrita"/>
          <w:b w:val="0"/>
          <w:bCs/>
        </w:rPr>
        <w:t>acompañamiento práctico</w:t>
      </w:r>
      <w:r w:rsidRPr="005E3FFD">
        <w:t xml:space="preserve"> para traducir reglas en rutinas</w:t>
      </w:r>
      <w:r>
        <w:t xml:space="preserve"> prácticas con ciertas brechas que dificultan su cumplimiento en algunos oferentes.</w:t>
      </w:r>
    </w:p>
    <w:p w14:paraId="687092FD" w14:textId="1E87ECA8" w:rsidR="00101059" w:rsidRDefault="00101059" w:rsidP="001706FD">
      <w:pPr>
        <w:pStyle w:val="Sinespaciado"/>
        <w:spacing w:line="360" w:lineRule="auto"/>
      </w:pPr>
      <w:r>
        <w:rPr>
          <w:rStyle w:val="Textoennegrita"/>
          <w:b w:val="0"/>
          <w:bCs/>
        </w:rPr>
        <w:t>En este sentido, e</w:t>
      </w:r>
      <w:r w:rsidRPr="005E3FFD">
        <w:t xml:space="preserve">l </w:t>
      </w:r>
      <w:r w:rsidRPr="005E3FFD">
        <w:rPr>
          <w:rStyle w:val="Textoennegrita"/>
          <w:b w:val="0"/>
          <w:bCs/>
        </w:rPr>
        <w:t>valor percibido de la formalidad</w:t>
      </w:r>
      <w:r w:rsidRPr="005E3FFD">
        <w:t xml:space="preserve"> y de los estándares no compensa, para una parte del tejido, costos y tramitología; e</w:t>
      </w:r>
      <w:r>
        <w:t>st</w:t>
      </w:r>
      <w:r w:rsidRPr="005E3FFD">
        <w:t xml:space="preserve">o se refleja en </w:t>
      </w:r>
      <w:r>
        <w:t xml:space="preserve">la dispersión, alta informalidad de los oferentes y/o la baja agrupación en clústeres, además de estrategias superficiales en </w:t>
      </w:r>
      <w:r w:rsidR="001706FD">
        <w:t>aquellos</w:t>
      </w:r>
      <w:r>
        <w:t xml:space="preserve"> oferentes informales. Si bien esto se analiza únicamente en este caso desde su estrategia de comunicación, es asumible que este nivel de baja gestión se pueda trasladar a otras áreas de la empresa.</w:t>
      </w:r>
    </w:p>
    <w:p w14:paraId="27ED5642" w14:textId="028A8B65" w:rsidR="00101059" w:rsidRDefault="00101059" w:rsidP="001706FD">
      <w:pPr>
        <w:pStyle w:val="Sinespaciado"/>
        <w:spacing w:line="360" w:lineRule="auto"/>
      </w:pPr>
      <w:r>
        <w:t xml:space="preserve">Es importante </w:t>
      </w:r>
      <w:r w:rsidR="001706FD">
        <w:t xml:space="preserve">también </w:t>
      </w:r>
      <w:r>
        <w:t xml:space="preserve">considerar que el universo de oferentes es altamente heterogéneo. Coexisten operadores informales con formación profesional y buen desempeño comunicativo, junto a otros que operan de manera más precaria, incluso a aquellos actores de muy pequeña escala (familias, tiendas y negocios asociados al turismo) que carecen aún de presencia en redes sociales. </w:t>
      </w:r>
    </w:p>
    <w:p w14:paraId="5712E26A" w14:textId="77777777" w:rsidR="00101059" w:rsidRDefault="00101059" w:rsidP="001706FD">
      <w:pPr>
        <w:pStyle w:val="Sinespaciado"/>
        <w:spacing w:line="360" w:lineRule="auto"/>
      </w:pPr>
      <w:r>
        <w:t xml:space="preserve">Si bien en el plano formal este tipo de iniciativas puede existir, su implementación enfrenta desafíos significativos. En muchos casos, los programas no logran ser apropiados por los potenciales beneficiarios debido a una comunicación insuficiente o a una baja percepción de su valor práctico. Este fenómeno no es exclusivo del sector turístico, sino que se observa de manera recurrente en otras áreas, donde el desconocimiento o la desconfianza propios de sectores “marginados” o poco especializados limitan la adopción de instrumentos de apoyo ofrecidos por el Estado o por entidades institucionales. </w:t>
      </w:r>
    </w:p>
    <w:p w14:paraId="0A84DE71" w14:textId="77777777" w:rsidR="00101059" w:rsidRDefault="00101059" w:rsidP="001706FD">
      <w:pPr>
        <w:pStyle w:val="Sinespaciado"/>
        <w:spacing w:line="360" w:lineRule="auto"/>
      </w:pPr>
      <w:r>
        <w:t xml:space="preserve">Así, resulta clave que las políticas de fortalecimiento empresarial se perciban como atractivas, pertinentes y aplicables, de modo que trasciendan la mera cobertura y se traduzcan en impactos reales sobre los procesos de formalización. La gestión de procesos y la incorporación de esquemas de mejoramiento continuo permiten enmarcar a estas empresas en trayectorias de fortalecimiento progresivo, lo cual es esencial para elevar sus capacidades, competencias y, en </w:t>
      </w:r>
      <w:r>
        <w:lastRenderedPageBreak/>
        <w:t>última instancia, contribuir a la construcción de un entorno más competitivo y sostenible para el sector turístico.</w:t>
      </w:r>
    </w:p>
    <w:p w14:paraId="2656580A" w14:textId="0A950B31" w:rsidR="00101059" w:rsidRDefault="00101059" w:rsidP="00101059">
      <w:pPr>
        <w:pStyle w:val="Descripcin"/>
        <w:tabs>
          <w:tab w:val="left" w:pos="6045"/>
        </w:tabs>
        <w:spacing w:line="360" w:lineRule="auto"/>
        <w:rPr>
          <w:b w:val="0"/>
          <w:bCs w:val="0"/>
          <w:i/>
          <w:iCs/>
        </w:rPr>
      </w:pPr>
      <w:bookmarkStart w:id="45" w:name="_Toc218596670"/>
      <w:r w:rsidRPr="00B466F8">
        <w:t xml:space="preserve">Figura </w:t>
      </w:r>
      <w:r w:rsidR="00084DA0">
        <w:fldChar w:fldCharType="begin"/>
      </w:r>
      <w:r w:rsidR="00084DA0">
        <w:instrText xml:space="preserve"> SEQ Figura \* ARABIC </w:instrText>
      </w:r>
      <w:r w:rsidR="00084DA0">
        <w:fldChar w:fldCharType="separate"/>
      </w:r>
      <w:r w:rsidR="005A45A4">
        <w:rPr>
          <w:noProof/>
        </w:rPr>
        <w:t>14</w:t>
      </w:r>
      <w:r w:rsidR="00084DA0">
        <w:rPr>
          <w:noProof/>
        </w:rPr>
        <w:fldChar w:fldCharType="end"/>
      </w:r>
      <w:r w:rsidRPr="00B466F8">
        <w:t>.</w:t>
      </w:r>
      <w:r w:rsidRPr="00D50581">
        <w:rPr>
          <w:b w:val="0"/>
          <w:bCs w:val="0"/>
          <w:i/>
          <w:iCs/>
        </w:rPr>
        <w:t xml:space="preserve"> </w:t>
      </w:r>
      <w:r>
        <w:rPr>
          <w:b w:val="0"/>
          <w:bCs w:val="0"/>
          <w:i/>
          <w:iCs/>
        </w:rPr>
        <w:br/>
        <w:t>Características y dificultades en la implementación de prácticas de gestión</w:t>
      </w:r>
      <w:bookmarkEnd w:id="45"/>
    </w:p>
    <w:p w14:paraId="597C39F1" w14:textId="77777777" w:rsidR="00101059" w:rsidRDefault="00101059" w:rsidP="00101059">
      <w:pPr>
        <w:pStyle w:val="FigyTablas"/>
      </w:pPr>
      <w:r>
        <w:drawing>
          <wp:inline distT="0" distB="0" distL="0" distR="0" wp14:anchorId="749B46A1" wp14:editId="03F1737F">
            <wp:extent cx="5930900" cy="434740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a:extLst>
                        <a:ext uri="{28A0092B-C50C-407E-A947-70E740481C1C}">
                          <a14:useLocalDpi xmlns:a14="http://schemas.microsoft.com/office/drawing/2010/main" val="0"/>
                        </a:ext>
                      </a:extLst>
                    </a:blip>
                    <a:srcRect l="7052" t="10600" r="4914" b="7325"/>
                    <a:stretch/>
                  </pic:blipFill>
                  <pic:spPr bwMode="auto">
                    <a:xfrm>
                      <a:off x="0" y="0"/>
                      <a:ext cx="5940034" cy="4354102"/>
                    </a:xfrm>
                    <a:prstGeom prst="rect">
                      <a:avLst/>
                    </a:prstGeom>
                    <a:noFill/>
                    <a:ln>
                      <a:noFill/>
                    </a:ln>
                    <a:extLst>
                      <a:ext uri="{53640926-AAD7-44D8-BBD7-CCE9431645EC}">
                        <a14:shadowObscured xmlns:a14="http://schemas.microsoft.com/office/drawing/2010/main"/>
                      </a:ext>
                    </a:extLst>
                  </pic:spPr>
                </pic:pic>
              </a:graphicData>
            </a:graphic>
          </wp:inline>
        </w:drawing>
      </w:r>
    </w:p>
    <w:p w14:paraId="0DC7C93E" w14:textId="77777777" w:rsidR="00101059" w:rsidRPr="005E3FFD" w:rsidRDefault="00101059" w:rsidP="00101059">
      <w:pPr>
        <w:pStyle w:val="Ttulo3"/>
      </w:pPr>
      <w:bookmarkStart w:id="46" w:name="_Toc218596647"/>
      <w:r w:rsidRPr="005E3FFD">
        <w:t>Estructuras de Operación</w:t>
      </w:r>
      <w:bookmarkEnd w:id="46"/>
    </w:p>
    <w:p w14:paraId="447FF836" w14:textId="77777777" w:rsidR="00101059" w:rsidRDefault="00101059" w:rsidP="001706FD">
      <w:pPr>
        <w:pStyle w:val="Sinespaciado"/>
        <w:spacing w:line="360" w:lineRule="auto"/>
      </w:pPr>
      <w:r w:rsidRPr="005E3FFD">
        <w:t xml:space="preserve">La literatura y la práctica internacional recomiendan </w:t>
      </w:r>
      <w:r w:rsidRPr="005E3FFD">
        <w:rPr>
          <w:rStyle w:val="Textoennegrita"/>
          <w:b w:val="0"/>
          <w:bCs/>
        </w:rPr>
        <w:t>modelos colaborativos</w:t>
      </w:r>
      <w:r w:rsidRPr="005E3FFD">
        <w:t xml:space="preserve"> (público</w:t>
      </w:r>
      <w:r>
        <w:t xml:space="preserve"> -</w:t>
      </w:r>
      <w:r w:rsidRPr="005E3FFD">
        <w:t>privado</w:t>
      </w:r>
      <w:r>
        <w:t xml:space="preserve"> - </w:t>
      </w:r>
      <w:r w:rsidRPr="005E3FFD">
        <w:t xml:space="preserve">comunitarios) y </w:t>
      </w:r>
      <w:r w:rsidRPr="005E3FFD">
        <w:rPr>
          <w:rStyle w:val="Textoennegrita"/>
          <w:b w:val="0"/>
          <w:bCs/>
        </w:rPr>
        <w:t>redes locales</w:t>
      </w:r>
      <w:r>
        <w:t xml:space="preserve">. Este tipo de modelos </w:t>
      </w:r>
      <w:r w:rsidRPr="00D44D68">
        <w:t xml:space="preserve">permiten a las MiPymes turísticas articular recursos, conocimiento, canales de comercialización y estándares de calidad de manera más eficiente. </w:t>
      </w:r>
      <w:r>
        <w:t xml:space="preserve">A su vez, se asocian en la literatura con </w:t>
      </w:r>
      <w:r w:rsidRPr="00D44D68">
        <w:t>una mayor capacidad de innovación, acceso a mercados y resiliencia frente a shocks externos, al combinar fortalezas de distintos actores (comunidad, empresas locales, autoridades e instituciones de apoyo).</w:t>
      </w:r>
    </w:p>
    <w:p w14:paraId="7C61FB4B" w14:textId="77777777" w:rsidR="00101059" w:rsidRDefault="00101059" w:rsidP="001706FD">
      <w:pPr>
        <w:pStyle w:val="Sinespaciado"/>
        <w:spacing w:line="360" w:lineRule="auto"/>
      </w:pPr>
      <w:r w:rsidRPr="00D44D68">
        <w:t xml:space="preserve">En el </w:t>
      </w:r>
      <w:r>
        <w:t xml:space="preserve">departamento </w:t>
      </w:r>
      <w:r w:rsidRPr="00D44D68">
        <w:t xml:space="preserve">de Santander, si bien infieren </w:t>
      </w:r>
      <w:r>
        <w:t xml:space="preserve">algunas articulaciones operativas </w:t>
      </w:r>
      <w:r w:rsidRPr="00D44D68">
        <w:t xml:space="preserve">a partir de la inclusión de terceros en paquetes turísticos (transporte, servicios complementarios, </w:t>
      </w:r>
      <w:r w:rsidRPr="00D44D68">
        <w:lastRenderedPageBreak/>
        <w:t>alojamientos asociados), no se evidencia una presencia robusta de modelos colaborativos formalizados, tales como redes locales consolidadas o clústeres con identidad colectiva y proyección digital. La revisión de contenido digital no identificó agrupaciones comunitarias o estructuras cooperativas con posicionamiento sólido en redes sociales que funcionen como un meta-organismo articulador del destino. Esta ausencia sugiere que la colaboración entre oferentes opera mayormente de manera informal, circunstancial o a escala micro, sin una estructura organizacional explícita ni una identidad colectiva claramente representada en los canales de promoción.</w:t>
      </w:r>
    </w:p>
    <w:p w14:paraId="55F2579E" w14:textId="2268C32F" w:rsidR="00101059" w:rsidRDefault="00101059" w:rsidP="001706FD">
      <w:pPr>
        <w:pStyle w:val="Sinespaciado"/>
        <w:spacing w:line="360" w:lineRule="auto"/>
      </w:pPr>
      <w:r>
        <w:t>Esto genera divergencia con lo planteado en los planes estratégicos de turismo que tiene el departamento (Fontur, 2022). La predominancia de unidades familiares, microemprendimientos individuales y marcas personales, si bien aporta dinamismo y diversidad, no ha logrado traducirse (al menos de forma evidente en lo digital) en articulaciones con una identidad regional compartida que potencie la visibilidad agregada de la oferta y facilite la integración. Esta fragmentación dificulta la consolidación de economías de escala, la profesionalización sistemática de procesos y la consolidación de una marca-destino comprensible y competitiva a nivel nacional e internacional.</w:t>
      </w:r>
    </w:p>
    <w:p w14:paraId="5B0C11DF" w14:textId="77777777" w:rsidR="00101059" w:rsidRPr="005E3FFD" w:rsidRDefault="00101059" w:rsidP="00101059">
      <w:pPr>
        <w:pStyle w:val="Ttulo3"/>
      </w:pPr>
      <w:bookmarkStart w:id="47" w:name="_Toc218596648"/>
      <w:r w:rsidRPr="005E3FFD">
        <w:t>Sostenibilidad</w:t>
      </w:r>
      <w:bookmarkEnd w:id="47"/>
    </w:p>
    <w:p w14:paraId="7916827B" w14:textId="77777777" w:rsidR="00101059" w:rsidRPr="00C6237B" w:rsidRDefault="00101059" w:rsidP="001706FD">
      <w:pPr>
        <w:pStyle w:val="Sinespaciado"/>
        <w:spacing w:line="360" w:lineRule="auto"/>
        <w:rPr>
          <w:rStyle w:val="Textoennegrita"/>
          <w:b w:val="0"/>
          <w:bCs/>
        </w:rPr>
      </w:pPr>
      <w:r>
        <w:rPr>
          <w:rStyle w:val="Textoennegrita"/>
          <w:b w:val="0"/>
          <w:bCs/>
        </w:rPr>
        <w:t xml:space="preserve">Se evidencia tanto en la literatura como en el Análisis de Contenido Digital una </w:t>
      </w:r>
      <w:r w:rsidRPr="00C6237B">
        <w:rPr>
          <w:rStyle w:val="Textoennegrita"/>
          <w:b w:val="0"/>
          <w:bCs/>
        </w:rPr>
        <w:t xml:space="preserve">adopción de estándares mínimos y la incorporación de prácticas de gobernanza verde </w:t>
      </w:r>
      <w:r>
        <w:rPr>
          <w:rStyle w:val="Textoennegrita"/>
          <w:b w:val="0"/>
          <w:bCs/>
        </w:rPr>
        <w:t xml:space="preserve">asociada </w:t>
      </w:r>
      <w:r w:rsidRPr="00C6237B">
        <w:rPr>
          <w:rStyle w:val="Textoennegrita"/>
          <w:b w:val="0"/>
          <w:bCs/>
        </w:rPr>
        <w:t xml:space="preserve">con mejores resultados en el turismo de naturaleza y aventura. La literatura destaca cómo la gobernanza ambiental activa </w:t>
      </w:r>
      <w:r>
        <w:rPr>
          <w:rStyle w:val="Textoennegrita"/>
          <w:b w:val="0"/>
          <w:bCs/>
        </w:rPr>
        <w:t>(</w:t>
      </w:r>
      <w:r w:rsidRPr="00C6237B">
        <w:rPr>
          <w:rStyle w:val="Textoennegrita"/>
          <w:b w:val="0"/>
          <w:bCs/>
        </w:rPr>
        <w:t>incluyendo políticas de protección de recursos, gestión de impactos y promoción de turismo responsable</w:t>
      </w:r>
      <w:r>
        <w:rPr>
          <w:rStyle w:val="Textoennegrita"/>
          <w:b w:val="0"/>
          <w:bCs/>
        </w:rPr>
        <w:t>)</w:t>
      </w:r>
      <w:r w:rsidRPr="00C6237B">
        <w:rPr>
          <w:rStyle w:val="Textoennegrita"/>
          <w:b w:val="0"/>
          <w:bCs/>
        </w:rPr>
        <w:t xml:space="preserve"> puede facilitar un crecimiento turístico más equilibrado y sostenible. En el contexto institucional colombiano y regional, las exigencias normativas como el </w:t>
      </w:r>
      <w:r>
        <w:rPr>
          <w:rStyle w:val="Textoennegrita"/>
          <w:b w:val="0"/>
          <w:bCs/>
        </w:rPr>
        <w:t>RNT</w:t>
      </w:r>
      <w:r w:rsidRPr="00C6237B">
        <w:rPr>
          <w:rStyle w:val="Textoennegrita"/>
          <w:b w:val="0"/>
          <w:bCs/>
        </w:rPr>
        <w:t>, la obligación o recomendación de pólizas de seguros, la implementación de protocolos de seguridad y la adopción de lineamientos mínimos de operación para actividades de riesgo sirven como un piso de formalidad y responsabilidad, creando condiciones básicas para la protección del visitante, la mitigación de riesgos operativos y la gestión de impactos ambientales.</w:t>
      </w:r>
    </w:p>
    <w:p w14:paraId="6F98AD27" w14:textId="77777777" w:rsidR="00101059" w:rsidRDefault="00101059" w:rsidP="001706FD">
      <w:pPr>
        <w:pStyle w:val="Sinespaciado"/>
        <w:spacing w:line="360" w:lineRule="auto"/>
        <w:rPr>
          <w:rStyle w:val="Textoennegrita"/>
          <w:b w:val="0"/>
          <w:bCs/>
        </w:rPr>
      </w:pPr>
      <w:r>
        <w:rPr>
          <w:rStyle w:val="Textoennegrita"/>
          <w:b w:val="0"/>
          <w:bCs/>
        </w:rPr>
        <w:t>Sin embargo, hay</w:t>
      </w:r>
      <w:r w:rsidRPr="00C6237B">
        <w:rPr>
          <w:rStyle w:val="Textoennegrita"/>
          <w:b w:val="0"/>
          <w:bCs/>
        </w:rPr>
        <w:t xml:space="preserve"> tensiones claras entre el discurso de sostenibilidad y su operacionalización efectiva, especialmente en el ámbito digital y en la gestión de recursos naturales. En los perfiles revisados de redes sociales, la visibilidad de prácticas verificables de sostenibilidad es débil o inconsistente. Aunque muchos oferentes usan etiquetas y narrativas </w:t>
      </w:r>
      <w:r w:rsidRPr="00C6237B">
        <w:rPr>
          <w:rStyle w:val="Textoennegrita"/>
          <w:b w:val="0"/>
          <w:bCs/>
        </w:rPr>
        <w:lastRenderedPageBreak/>
        <w:t>relacionadas con ecoturismo, “cuidado del entorno” y turismo responsable, rara vez se acompañan de evidencia concreta</w:t>
      </w:r>
      <w:r>
        <w:rPr>
          <w:rStyle w:val="Textoennegrita"/>
          <w:b w:val="0"/>
          <w:bCs/>
        </w:rPr>
        <w:t xml:space="preserve">. </w:t>
      </w:r>
    </w:p>
    <w:p w14:paraId="4F37B6C4" w14:textId="77777777" w:rsidR="00101059" w:rsidRPr="00C6237B" w:rsidRDefault="00101059" w:rsidP="001706FD">
      <w:pPr>
        <w:pStyle w:val="Sinespaciado"/>
        <w:spacing w:line="360" w:lineRule="auto"/>
        <w:rPr>
          <w:rStyle w:val="Textoennegrita"/>
          <w:b w:val="0"/>
          <w:bCs/>
        </w:rPr>
      </w:pPr>
      <w:r w:rsidRPr="00C6237B">
        <w:rPr>
          <w:rStyle w:val="Textoennegrita"/>
          <w:b w:val="0"/>
          <w:bCs/>
        </w:rPr>
        <w:t xml:space="preserve">Asimismo, el control de la capacidad de carga en atractivos naturales </w:t>
      </w:r>
      <w:r>
        <w:rPr>
          <w:rStyle w:val="Textoennegrita"/>
          <w:b w:val="0"/>
          <w:bCs/>
        </w:rPr>
        <w:t>(</w:t>
      </w:r>
      <w:r w:rsidRPr="00C6237B">
        <w:rPr>
          <w:rStyle w:val="Textoennegrita"/>
          <w:b w:val="0"/>
          <w:bCs/>
        </w:rPr>
        <w:t>un elemento clave para la sostenibilidad de destinos frágiles</w:t>
      </w:r>
      <w:r>
        <w:rPr>
          <w:rStyle w:val="Textoennegrita"/>
          <w:b w:val="0"/>
          <w:bCs/>
        </w:rPr>
        <w:t>)</w:t>
      </w:r>
      <w:r w:rsidRPr="00C6237B">
        <w:rPr>
          <w:rStyle w:val="Textoennegrita"/>
          <w:b w:val="0"/>
          <w:bCs/>
        </w:rPr>
        <w:t xml:space="preserve"> se encuentra aún en etapas iniciales de implementación, </w:t>
      </w:r>
      <w:r>
        <w:rPr>
          <w:rStyle w:val="Textoennegrita"/>
          <w:b w:val="0"/>
          <w:bCs/>
        </w:rPr>
        <w:t>y no se encuentra evidencia visible en los reportes institucionales de su gestión o de un monitoreo real</w:t>
      </w:r>
      <w:r w:rsidRPr="00C6237B">
        <w:rPr>
          <w:rStyle w:val="Textoennegrita"/>
          <w:b w:val="0"/>
          <w:bCs/>
        </w:rPr>
        <w:t>. Esto dificulta la gestión efectiva de flujos de visitantes y la protección de los recursos naturales que constituyen la base de la oferta de aventura en Santander.</w:t>
      </w:r>
    </w:p>
    <w:p w14:paraId="276B51F3" w14:textId="7ED5AE3D" w:rsidR="00101059" w:rsidRPr="00C6237B" w:rsidRDefault="00101059" w:rsidP="001706FD">
      <w:pPr>
        <w:pStyle w:val="Sinespaciado"/>
        <w:spacing w:line="360" w:lineRule="auto"/>
        <w:rPr>
          <w:rStyle w:val="Textoennegrita"/>
          <w:b w:val="0"/>
          <w:bCs/>
        </w:rPr>
      </w:pPr>
      <w:r w:rsidRPr="00C6237B">
        <w:rPr>
          <w:rStyle w:val="Textoennegrita"/>
          <w:b w:val="0"/>
          <w:bCs/>
        </w:rPr>
        <w:t xml:space="preserve">Superar estas tensiones exige consolidar un enfoque de sostenibilidad que vaya más allá del mero cumplimiento formal y se traduzca en prácticas verificables, medibles y reportadas de manera regular. </w:t>
      </w:r>
    </w:p>
    <w:p w14:paraId="4BB355F8" w14:textId="77777777" w:rsidR="00101059" w:rsidRDefault="00101059" w:rsidP="001706FD">
      <w:pPr>
        <w:pStyle w:val="Sinespaciado"/>
        <w:spacing w:line="360" w:lineRule="auto"/>
        <w:rPr>
          <w:rStyle w:val="Textoennegrita"/>
          <w:b w:val="0"/>
          <w:bCs/>
        </w:rPr>
      </w:pPr>
      <w:r w:rsidRPr="00C6237B">
        <w:rPr>
          <w:rStyle w:val="Textoennegrita"/>
          <w:b w:val="0"/>
          <w:bCs/>
        </w:rPr>
        <w:t>En este sentido, se vuelve necesario fortalecer mecanismos de control y gestión territorial, no solo como un ideal normativo, sino como una condición material de preservación del capital natural que sostiene la actividad turística. Ello cobra especial relevancia en ecosistemas de alta fragilidad y valor estratégico</w:t>
      </w:r>
      <w:r>
        <w:rPr>
          <w:rStyle w:val="Textoennegrita"/>
          <w:b w:val="0"/>
          <w:bCs/>
        </w:rPr>
        <w:t xml:space="preserve"> d</w:t>
      </w:r>
      <w:r w:rsidRPr="00C6237B">
        <w:rPr>
          <w:rStyle w:val="Textoennegrita"/>
          <w:b w:val="0"/>
          <w:bCs/>
        </w:rPr>
        <w:t>onde la tensión entre subsistencia económica y protección ambiental no puede resolverse únicamente por autorregulación del mercado. En términos de jerarquía de intereses públicos, la protección de estos ecosistemas debe prevalecer sobre dinámicas económicas de corto plazo, precisamente porque de su integridad dependen funciones ecológicas críticas (regulación hídrica, biodiversidad, servicios ecosistémicos) y derechos colectivos e intergeneracionales.</w:t>
      </w:r>
    </w:p>
    <w:p w14:paraId="6E75171F" w14:textId="77777777" w:rsidR="00101059" w:rsidRDefault="00101059" w:rsidP="001706FD">
      <w:pPr>
        <w:pStyle w:val="Sinespaciado"/>
        <w:spacing w:line="360" w:lineRule="auto"/>
        <w:rPr>
          <w:rStyle w:val="Textoennegrita"/>
          <w:b w:val="0"/>
          <w:bCs/>
        </w:rPr>
      </w:pPr>
      <w:r w:rsidRPr="00C6237B">
        <w:rPr>
          <w:rStyle w:val="Textoennegrita"/>
          <w:b w:val="0"/>
          <w:bCs/>
        </w:rPr>
        <w:t>En términos operativos, e</w:t>
      </w:r>
      <w:r>
        <w:rPr>
          <w:rStyle w:val="Textoennegrita"/>
          <w:b w:val="0"/>
          <w:bCs/>
        </w:rPr>
        <w:t>st</w:t>
      </w:r>
      <w:r w:rsidRPr="00C6237B">
        <w:rPr>
          <w:rStyle w:val="Textoennegrita"/>
          <w:b w:val="0"/>
          <w:bCs/>
        </w:rPr>
        <w:t xml:space="preserve">o implica que, aunque la política pública busque transiciones socialmente viables, la prestación turística en entornos frágiles debe incorporar mínimos exigibles y mecanismos de trazabilidad (formalización, protocolos, control de operación y evidencia verificable), de modo que la sostenibilidad se garantice por encima de intereses particulares </w:t>
      </w:r>
      <w:r>
        <w:rPr>
          <w:rStyle w:val="Textoennegrita"/>
          <w:b w:val="0"/>
          <w:bCs/>
        </w:rPr>
        <w:t>(</w:t>
      </w:r>
      <w:r w:rsidRPr="00C6237B">
        <w:rPr>
          <w:rStyle w:val="Textoennegrita"/>
          <w:b w:val="0"/>
          <w:bCs/>
        </w:rPr>
        <w:t>incluidos los de subsistencia</w:t>
      </w:r>
      <w:r>
        <w:rPr>
          <w:rStyle w:val="Textoennegrita"/>
          <w:b w:val="0"/>
          <w:bCs/>
        </w:rPr>
        <w:t>)</w:t>
      </w:r>
      <w:r w:rsidRPr="00C6237B">
        <w:rPr>
          <w:rStyle w:val="Textoennegrita"/>
          <w:b w:val="0"/>
          <w:bCs/>
        </w:rPr>
        <w:t xml:space="preserve"> cuando están en juego funciones ecológicas críticas y derechos colectivos e intergeneracionales (Constitución Política de Colombia, 1991, arts. 79–80).</w:t>
      </w:r>
    </w:p>
    <w:p w14:paraId="1D04E4D1" w14:textId="77777777" w:rsidR="00101059" w:rsidRDefault="00101059" w:rsidP="00101059">
      <w:pPr>
        <w:pStyle w:val="Ttulo3"/>
      </w:pPr>
      <w:bookmarkStart w:id="48" w:name="_Toc218596649"/>
      <w:r w:rsidRPr="005E3FFD">
        <w:t>Competitividad</w:t>
      </w:r>
      <w:bookmarkEnd w:id="48"/>
    </w:p>
    <w:p w14:paraId="5FCAF6C6" w14:textId="136550B6" w:rsidR="00101059" w:rsidRPr="00C6237B" w:rsidRDefault="00101059" w:rsidP="001706FD">
      <w:pPr>
        <w:pStyle w:val="Sinespaciado"/>
        <w:spacing w:line="360" w:lineRule="auto"/>
      </w:pPr>
      <w:r>
        <w:t>De la literatura se destaca que</w:t>
      </w:r>
      <w:r w:rsidRPr="00C6237B">
        <w:t xml:space="preserve"> la competitividad en turismo de aventura no depende únicamente de la visibilidad comercial, sino de la capacidad del destino y de </w:t>
      </w:r>
      <w:r>
        <w:t>los oferentes</w:t>
      </w:r>
      <w:r w:rsidRPr="00C6237B">
        <w:t xml:space="preserve"> para </w:t>
      </w:r>
      <w:r w:rsidRPr="00C6237B">
        <w:rPr>
          <w:rStyle w:val="Textoennegrita"/>
          <w:b w:val="0"/>
          <w:bCs/>
        </w:rPr>
        <w:t>garantizar trazabilidad, calidad, resiliencia y gobernanza</w:t>
      </w:r>
      <w:r w:rsidRPr="00C6237B">
        <w:t xml:space="preserve"> en condiciones de incertidumbre. En la evidencia empírica digital </w:t>
      </w:r>
      <w:r>
        <w:t xml:space="preserve">recolectada hay reflejos de esto, mostrando a las </w:t>
      </w:r>
      <w:r w:rsidRPr="00C6237B">
        <w:t xml:space="preserve">redes sociales como </w:t>
      </w:r>
      <w:r w:rsidRPr="00C6237B">
        <w:lastRenderedPageBreak/>
        <w:t xml:space="preserve">un mecanismo </w:t>
      </w:r>
      <w:r>
        <w:t xml:space="preserve">que puede ser eficaz </w:t>
      </w:r>
      <w:r w:rsidRPr="00C6237B">
        <w:t xml:space="preserve">para </w:t>
      </w:r>
      <w:r w:rsidRPr="00C6237B">
        <w:rPr>
          <w:rStyle w:val="Textoennegrita"/>
          <w:b w:val="0"/>
          <w:bCs/>
        </w:rPr>
        <w:t>capturar atención y demanda potencial</w:t>
      </w:r>
      <w:r>
        <w:t>. S</w:t>
      </w:r>
      <w:r w:rsidRPr="00C6237B">
        <w:t xml:space="preserve">in embargo, tal como se observó en el </w:t>
      </w:r>
      <w:r>
        <w:t>A</w:t>
      </w:r>
      <w:r w:rsidRPr="00C6237B">
        <w:t xml:space="preserve">nálisis de </w:t>
      </w:r>
      <w:r>
        <w:t>C</w:t>
      </w:r>
      <w:r w:rsidRPr="00C6237B">
        <w:t>ontenido</w:t>
      </w:r>
      <w:r>
        <w:t xml:space="preserve"> Digital</w:t>
      </w:r>
      <w:r w:rsidRPr="00C6237B">
        <w:t xml:space="preserve">, </w:t>
      </w:r>
      <w:r>
        <w:t xml:space="preserve">de este solo análisis </w:t>
      </w:r>
      <w:r>
        <w:rPr>
          <w:rStyle w:val="Textoennegrita"/>
          <w:b w:val="0"/>
          <w:bCs/>
        </w:rPr>
        <w:t xml:space="preserve">no es posible validar o </w:t>
      </w:r>
      <w:r w:rsidRPr="00C6237B">
        <w:rPr>
          <w:rStyle w:val="Textoennegrita"/>
          <w:b w:val="0"/>
          <w:bCs/>
        </w:rPr>
        <w:t xml:space="preserve">inferir </w:t>
      </w:r>
      <w:r>
        <w:rPr>
          <w:rStyle w:val="Textoennegrita"/>
          <w:b w:val="0"/>
          <w:bCs/>
        </w:rPr>
        <w:t xml:space="preserve">el </w:t>
      </w:r>
      <w:r w:rsidRPr="00C6237B">
        <w:rPr>
          <w:rStyle w:val="Textoennegrita"/>
          <w:b w:val="0"/>
          <w:bCs/>
        </w:rPr>
        <w:t>desempeño económic</w:t>
      </w:r>
      <w:r>
        <w:rPr>
          <w:rStyle w:val="Textoennegrita"/>
          <w:b w:val="0"/>
          <w:bCs/>
        </w:rPr>
        <w:t>o o el</w:t>
      </w:r>
      <w:r w:rsidRPr="00C6237B">
        <w:rPr>
          <w:rStyle w:val="Textoennegrita"/>
          <w:b w:val="0"/>
          <w:bCs/>
        </w:rPr>
        <w:t xml:space="preserve"> cumplimiento normativo o niveles de seguridad</w:t>
      </w:r>
      <w:r w:rsidRPr="00C6237B">
        <w:t xml:space="preserve">, dado que la conversión, la recurrencia y la formalidad no son verificables sin sistemas de interoperabilidad y datos comparables. </w:t>
      </w:r>
    </w:p>
    <w:p w14:paraId="0869E366" w14:textId="77777777" w:rsidR="00101059" w:rsidRDefault="00101059" w:rsidP="001706FD">
      <w:pPr>
        <w:pStyle w:val="Sinespaciado"/>
        <w:spacing w:line="360" w:lineRule="auto"/>
      </w:pPr>
      <w:r>
        <w:t>En el departamento</w:t>
      </w:r>
      <w:r w:rsidRPr="00C6237B">
        <w:t>,</w:t>
      </w:r>
      <w:r>
        <w:t xml:space="preserve"> análogo a los contextos de turismo emergentes, </w:t>
      </w:r>
      <w:r w:rsidRPr="00C6237B">
        <w:t>la coexistencia de oferta formal e informal genera una tensión estructural</w:t>
      </w:r>
      <w:r>
        <w:t>. L</w:t>
      </w:r>
      <w:r w:rsidRPr="00C6237B">
        <w:t xml:space="preserve">a informalidad y el subregistro </w:t>
      </w:r>
      <w:r w:rsidRPr="00C6237B">
        <w:rPr>
          <w:rStyle w:val="Textoennegrita"/>
          <w:b w:val="0"/>
          <w:bCs/>
        </w:rPr>
        <w:t>distorsionan indicadores críticos (empleo, aporte a PIB, desempeño en índices, retorno de contribuciones)</w:t>
      </w:r>
      <w:r w:rsidRPr="00C6237B">
        <w:t xml:space="preserve">, lo cual </w:t>
      </w:r>
      <w:r>
        <w:t xml:space="preserve">dificulta la generación de cifras objetivas, </w:t>
      </w:r>
      <w:r w:rsidRPr="00C6237B">
        <w:t>reduce comparabilidad frente a otros destinos y debilita la atracción de inversión pública y privada. A esto se suma que la oferta informal, al no internalizar costos de cumplimiento, puede competir agresivamente en precio y velocidad de comercialización, elevando la presión competitiva sobre las empresas registradas</w:t>
      </w:r>
      <w:r>
        <w:t xml:space="preserve"> y derivando posibles servicios ofrecidos sin un mínimo de calidad, con la posibilidad de que esto repercuta en la reputación general del sector en el departamento. En la oferta comercial</w:t>
      </w:r>
      <w:r w:rsidRPr="00C6237B">
        <w:t xml:space="preserve">, esto se </w:t>
      </w:r>
      <w:r>
        <w:t xml:space="preserve">sintetiza en un amplio margen de oferentes diferenciados, con sectores de la demanda que suelen preferir </w:t>
      </w:r>
      <w:r w:rsidRPr="00C6237B">
        <w:t>emoción e inmediatez, mientras que la formalidad (</w:t>
      </w:r>
      <w:r>
        <w:t xml:space="preserve">brindada por MiPymes o empresas de mayor tamaño debidamente registradas y con </w:t>
      </w:r>
      <w:r w:rsidRPr="00C6237B">
        <w:t xml:space="preserve">RNT, </w:t>
      </w:r>
      <w:r>
        <w:t>seguros, pólizas y protocolos claros)</w:t>
      </w:r>
      <w:r w:rsidRPr="00C6237B">
        <w:t xml:space="preserve"> no siempre</w:t>
      </w:r>
      <w:r>
        <w:t xml:space="preserve">, al menos desde el punto de vista comercial, </w:t>
      </w:r>
      <w:r w:rsidRPr="00C6237B">
        <w:t>se traduce</w:t>
      </w:r>
      <w:r>
        <w:t>n</w:t>
      </w:r>
      <w:r w:rsidRPr="00C6237B">
        <w:t xml:space="preserve"> en ventaja comercial visible si no existe un mecanismo estandarizado de verificación y comunicación. </w:t>
      </w:r>
    </w:p>
    <w:p w14:paraId="61456EE2" w14:textId="7258AE64" w:rsidR="00101059" w:rsidRDefault="00101059" w:rsidP="001706FD">
      <w:pPr>
        <w:pStyle w:val="Sinespaciado"/>
        <w:spacing w:line="360" w:lineRule="auto"/>
      </w:pPr>
      <w:r w:rsidRPr="00C6237B">
        <w:t>El resultado es un círculo de retroalimentación:</w:t>
      </w:r>
      <w:r>
        <w:t xml:space="preserve"> </w:t>
      </w:r>
      <w:r>
        <w:rPr>
          <w:rStyle w:val="Textoennegrita"/>
          <w:b w:val="0"/>
          <w:bCs/>
        </w:rPr>
        <w:t>M</w:t>
      </w:r>
      <w:r w:rsidRPr="00C6237B">
        <w:rPr>
          <w:rStyle w:val="Textoennegrita"/>
          <w:b w:val="0"/>
          <w:bCs/>
        </w:rPr>
        <w:t>enor formalización</w:t>
      </w:r>
      <w:r>
        <w:rPr>
          <w:rStyle w:val="Textoennegrita"/>
          <w:b w:val="0"/>
          <w:bCs/>
        </w:rPr>
        <w:t xml:space="preserve">, </w:t>
      </w:r>
      <w:r w:rsidRPr="00C6237B">
        <w:rPr>
          <w:rStyle w:val="Textoennegrita"/>
          <w:b w:val="0"/>
          <w:bCs/>
        </w:rPr>
        <w:t>menor recaudo y menor inversión en promoción/infraestructura/seguridad</w:t>
      </w:r>
      <w:r>
        <w:rPr>
          <w:rStyle w:val="Textoennegrita"/>
          <w:b w:val="0"/>
          <w:bCs/>
        </w:rPr>
        <w:t xml:space="preserve">, </w:t>
      </w:r>
      <w:r w:rsidRPr="00C6237B">
        <w:rPr>
          <w:rStyle w:val="Textoennegrita"/>
          <w:b w:val="0"/>
          <w:bCs/>
        </w:rPr>
        <w:t>menor competitividad</w:t>
      </w:r>
      <w:r>
        <w:rPr>
          <w:rStyle w:val="Textoennegrita"/>
          <w:b w:val="0"/>
          <w:bCs/>
        </w:rPr>
        <w:t xml:space="preserve">, </w:t>
      </w:r>
      <w:r w:rsidRPr="00C6237B">
        <w:rPr>
          <w:rStyle w:val="Textoennegrita"/>
          <w:b w:val="0"/>
          <w:bCs/>
        </w:rPr>
        <w:t>más incentivos a competir por precio e informalidad</w:t>
      </w:r>
      <w:r w:rsidRPr="00C6237B">
        <w:t xml:space="preserve"> (Hall, 2008).</w:t>
      </w:r>
    </w:p>
    <w:p w14:paraId="4F2716A8" w14:textId="2AE556B8" w:rsidR="00D949D8" w:rsidRDefault="00D949D8" w:rsidP="001706FD">
      <w:pPr>
        <w:pStyle w:val="Sinespaciado"/>
        <w:spacing w:line="360" w:lineRule="auto"/>
      </w:pPr>
    </w:p>
    <w:p w14:paraId="3B3CA2AB" w14:textId="650CC352" w:rsidR="00D949D8" w:rsidRDefault="00D949D8" w:rsidP="001706FD">
      <w:pPr>
        <w:pStyle w:val="Sinespaciado"/>
        <w:spacing w:line="360" w:lineRule="auto"/>
      </w:pPr>
    </w:p>
    <w:p w14:paraId="35AE0C16" w14:textId="6D88E823" w:rsidR="00D949D8" w:rsidRDefault="00D949D8" w:rsidP="001706FD">
      <w:pPr>
        <w:pStyle w:val="Sinespaciado"/>
        <w:spacing w:line="360" w:lineRule="auto"/>
      </w:pPr>
    </w:p>
    <w:p w14:paraId="383E77EF" w14:textId="5B263787" w:rsidR="00D949D8" w:rsidRDefault="00D949D8" w:rsidP="001706FD">
      <w:pPr>
        <w:pStyle w:val="Sinespaciado"/>
        <w:spacing w:line="360" w:lineRule="auto"/>
      </w:pPr>
    </w:p>
    <w:p w14:paraId="642D0FF4" w14:textId="32096B38" w:rsidR="00D949D8" w:rsidRDefault="00D949D8" w:rsidP="001706FD">
      <w:pPr>
        <w:pStyle w:val="Sinespaciado"/>
        <w:spacing w:line="360" w:lineRule="auto"/>
      </w:pPr>
    </w:p>
    <w:p w14:paraId="2E630BA7" w14:textId="6AE53612" w:rsidR="00D949D8" w:rsidRDefault="00D949D8" w:rsidP="001706FD">
      <w:pPr>
        <w:pStyle w:val="Sinespaciado"/>
        <w:spacing w:line="360" w:lineRule="auto"/>
      </w:pPr>
    </w:p>
    <w:p w14:paraId="76582EB9" w14:textId="2E884D05" w:rsidR="00D949D8" w:rsidRDefault="00D949D8" w:rsidP="001706FD">
      <w:pPr>
        <w:pStyle w:val="Sinespaciado"/>
        <w:spacing w:line="360" w:lineRule="auto"/>
      </w:pPr>
    </w:p>
    <w:p w14:paraId="3DFF7463" w14:textId="77777777" w:rsidR="00D949D8" w:rsidRDefault="00D949D8" w:rsidP="001706FD">
      <w:pPr>
        <w:pStyle w:val="Sinespaciado"/>
        <w:spacing w:line="360" w:lineRule="auto"/>
      </w:pPr>
    </w:p>
    <w:p w14:paraId="217DBE68" w14:textId="2AE8D4EC" w:rsidR="00101059" w:rsidRDefault="00101059" w:rsidP="00101059">
      <w:pPr>
        <w:pStyle w:val="Sinespaciado"/>
        <w:ind w:firstLine="0"/>
        <w:jc w:val="left"/>
      </w:pPr>
      <w:bookmarkStart w:id="49" w:name="_Toc218596673"/>
      <w:r w:rsidRPr="00D44D68">
        <w:rPr>
          <w:b/>
          <w:bCs w:val="0"/>
        </w:rPr>
        <w:lastRenderedPageBreak/>
        <w:t xml:space="preserve">Figura </w:t>
      </w:r>
      <w:r w:rsidRPr="00D44D68">
        <w:rPr>
          <w:b/>
          <w:bCs w:val="0"/>
        </w:rPr>
        <w:fldChar w:fldCharType="begin"/>
      </w:r>
      <w:r w:rsidRPr="00D44D68">
        <w:rPr>
          <w:b/>
          <w:bCs w:val="0"/>
        </w:rPr>
        <w:instrText xml:space="preserve"> SEQ Figura \* ARABIC </w:instrText>
      </w:r>
      <w:r w:rsidRPr="00D44D68">
        <w:rPr>
          <w:b/>
          <w:bCs w:val="0"/>
        </w:rPr>
        <w:fldChar w:fldCharType="separate"/>
      </w:r>
      <w:r w:rsidR="005A45A4">
        <w:rPr>
          <w:b/>
          <w:bCs w:val="0"/>
          <w:noProof/>
        </w:rPr>
        <w:t>17</w:t>
      </w:r>
      <w:r w:rsidRPr="00D44D68">
        <w:rPr>
          <w:b/>
          <w:bCs w:val="0"/>
          <w:noProof/>
        </w:rPr>
        <w:fldChar w:fldCharType="end"/>
      </w:r>
      <w:r w:rsidRPr="00D44D68">
        <w:rPr>
          <w:b/>
          <w:bCs w:val="0"/>
        </w:rPr>
        <w:t>.</w:t>
      </w:r>
      <w:r w:rsidRPr="00D50581">
        <w:rPr>
          <w:bCs w:val="0"/>
          <w:i/>
          <w:iCs/>
        </w:rPr>
        <w:t xml:space="preserve"> </w:t>
      </w:r>
      <w:r>
        <w:rPr>
          <w:bCs w:val="0"/>
          <w:i/>
          <w:iCs/>
        </w:rPr>
        <w:br/>
      </w:r>
      <w:r>
        <w:rPr>
          <w:i/>
          <w:iCs/>
        </w:rPr>
        <w:t>Proceso que retroalimenta alimenta la informalidad del sector</w:t>
      </w:r>
      <w:bookmarkEnd w:id="49"/>
    </w:p>
    <w:p w14:paraId="6FFE655C" w14:textId="31911096" w:rsidR="00101059" w:rsidRDefault="00101059" w:rsidP="005A45A4">
      <w:pPr>
        <w:pStyle w:val="NormalWeb"/>
        <w:jc w:val="center"/>
      </w:pPr>
      <w:r>
        <w:rPr>
          <w:noProof/>
        </w:rPr>
        <w:drawing>
          <wp:inline distT="0" distB="0" distL="0" distR="0" wp14:anchorId="2D142BD5" wp14:editId="246C1A3C">
            <wp:extent cx="4617720" cy="346329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9">
                      <a:extLst>
                        <a:ext uri="{28A0092B-C50C-407E-A947-70E740481C1C}">
                          <a14:useLocalDpi xmlns:a14="http://schemas.microsoft.com/office/drawing/2010/main" val="0"/>
                        </a:ext>
                      </a:extLst>
                    </a:blip>
                    <a:srcRect l="7187" t="17912" r="11528" b="8643"/>
                    <a:stretch/>
                  </pic:blipFill>
                  <pic:spPr bwMode="auto">
                    <a:xfrm>
                      <a:off x="0" y="0"/>
                      <a:ext cx="4622112" cy="3466584"/>
                    </a:xfrm>
                    <a:prstGeom prst="rect">
                      <a:avLst/>
                    </a:prstGeom>
                    <a:noFill/>
                    <a:ln>
                      <a:noFill/>
                    </a:ln>
                    <a:extLst>
                      <a:ext uri="{53640926-AAD7-44D8-BBD7-CCE9431645EC}">
                        <a14:shadowObscured xmlns:a14="http://schemas.microsoft.com/office/drawing/2010/main"/>
                      </a:ext>
                    </a:extLst>
                  </pic:spPr>
                </pic:pic>
              </a:graphicData>
            </a:graphic>
          </wp:inline>
        </w:drawing>
      </w:r>
    </w:p>
    <w:p w14:paraId="0D3A2BA7" w14:textId="77777777" w:rsidR="00101059" w:rsidRPr="005A45A4" w:rsidRDefault="00101059" w:rsidP="005A45A4">
      <w:pPr>
        <w:pStyle w:val="Ttulo1"/>
      </w:pPr>
      <w:bookmarkStart w:id="50" w:name="_Toc218596651"/>
      <w:r w:rsidRPr="005A45A4">
        <w:t>Conclusiones</w:t>
      </w:r>
      <w:bookmarkEnd w:id="50"/>
    </w:p>
    <w:p w14:paraId="0BA95C72" w14:textId="77777777" w:rsidR="00101059" w:rsidRPr="00674AE3" w:rsidRDefault="00101059" w:rsidP="001706FD">
      <w:pPr>
        <w:pStyle w:val="Sinespaciado"/>
        <w:spacing w:line="360" w:lineRule="auto"/>
      </w:pPr>
      <w:r>
        <w:t xml:space="preserve">El estudio realizado permitió identificar como </w:t>
      </w:r>
      <w:r w:rsidRPr="00674AE3">
        <w:t xml:space="preserve">ciertas </w:t>
      </w:r>
      <w:r w:rsidRPr="00674AE3">
        <w:rPr>
          <w:rStyle w:val="Textoennegrita"/>
          <w:b w:val="0"/>
          <w:bCs/>
        </w:rPr>
        <w:t>prácticas de gestión</w:t>
      </w:r>
      <w:r w:rsidRPr="00674AE3">
        <w:t xml:space="preserve">, </w:t>
      </w:r>
      <w:r w:rsidRPr="00674AE3">
        <w:rPr>
          <w:rStyle w:val="Textoennegrita"/>
          <w:b w:val="0"/>
          <w:bCs/>
        </w:rPr>
        <w:t>estructuras de operación</w:t>
      </w:r>
      <w:r w:rsidRPr="00674AE3">
        <w:t xml:space="preserve"> y </w:t>
      </w:r>
      <w:r w:rsidRPr="00674AE3">
        <w:rPr>
          <w:rStyle w:val="Textoennegrita"/>
          <w:b w:val="0"/>
          <w:bCs/>
        </w:rPr>
        <w:t>estrategias (o narrativas) de sostenibilidad</w:t>
      </w:r>
      <w:r w:rsidRPr="00674AE3">
        <w:t xml:space="preserve"> se relacionan con su </w:t>
      </w:r>
      <w:r w:rsidRPr="00674AE3">
        <w:rPr>
          <w:rStyle w:val="Textoennegrita"/>
          <w:b w:val="0"/>
          <w:bCs/>
        </w:rPr>
        <w:t>competitividad</w:t>
      </w:r>
      <w:r w:rsidRPr="00674AE3">
        <w:t xml:space="preserve"> y con sus </w:t>
      </w:r>
      <w:r w:rsidRPr="00674AE3">
        <w:rPr>
          <w:rStyle w:val="Textoennegrita"/>
          <w:b w:val="0"/>
          <w:bCs/>
        </w:rPr>
        <w:t>trayectorias de formalización</w:t>
      </w:r>
      <w:r w:rsidRPr="00674AE3">
        <w:t>. El hallazgo central</w:t>
      </w:r>
      <w:r>
        <w:t xml:space="preserve"> se fundamenta en </w:t>
      </w:r>
      <w:r w:rsidRPr="00674AE3">
        <w:t xml:space="preserve">que la competitividad regional del turismo de aventura se está configurando en un escenario de </w:t>
      </w:r>
      <w:r w:rsidRPr="00674AE3">
        <w:rPr>
          <w:rStyle w:val="Textoennegrita"/>
          <w:b w:val="0"/>
          <w:bCs/>
        </w:rPr>
        <w:t>alta visibilidad digital y baja trazabilidad</w:t>
      </w:r>
      <w:r>
        <w:t>, donde, aunque</w:t>
      </w:r>
      <w:r w:rsidRPr="00674AE3">
        <w:t xml:space="preserve"> la oferta crece y se promociona intensamente, </w:t>
      </w:r>
      <w:r>
        <w:t xml:space="preserve">opera </w:t>
      </w:r>
      <w:r w:rsidRPr="00674AE3">
        <w:t>significativa</w:t>
      </w:r>
      <w:r>
        <w:t xml:space="preserve">mente </w:t>
      </w:r>
      <w:r w:rsidRPr="00674AE3">
        <w:t xml:space="preserve">en un umbral de informalidad (o </w:t>
      </w:r>
      <w:proofErr w:type="spellStart"/>
      <w:r w:rsidRPr="00674AE3">
        <w:t>semi-formalidad</w:t>
      </w:r>
      <w:proofErr w:type="spellEnd"/>
      <w:r w:rsidRPr="00674AE3">
        <w:t>) que restringe la consolidación de estándares, la medición real del desempeño sectorial y la capacidad del territorio para convertir actividad turística en inversión, reputación y mejora sostenida de la calidad.</w:t>
      </w:r>
    </w:p>
    <w:p w14:paraId="7B4C2C6B" w14:textId="77777777" w:rsidR="00101059" w:rsidRDefault="00101059" w:rsidP="001706FD">
      <w:pPr>
        <w:pStyle w:val="Sinespaciado"/>
        <w:spacing w:line="360" w:lineRule="auto"/>
      </w:pPr>
      <w:r>
        <w:t xml:space="preserve">En cuanto a la literatura académica asociada, </w:t>
      </w:r>
      <w:r w:rsidRPr="00674AE3">
        <w:t xml:space="preserve">se </w:t>
      </w:r>
      <w:r>
        <w:t xml:space="preserve">puede decir que se </w:t>
      </w:r>
      <w:r w:rsidRPr="00674AE3">
        <w:t xml:space="preserve">comporta como un campo </w:t>
      </w:r>
      <w:r w:rsidRPr="00674AE3">
        <w:rPr>
          <w:rStyle w:val="Textoennegrita"/>
          <w:b w:val="0"/>
          <w:bCs/>
        </w:rPr>
        <w:t>fragmentado, interdisciplinario y aún no plenamente consolidado</w:t>
      </w:r>
      <w:r w:rsidRPr="00674AE3">
        <w:t xml:space="preserve">. </w:t>
      </w:r>
      <w:r>
        <w:t xml:space="preserve">La </w:t>
      </w:r>
      <w:r w:rsidRPr="00674AE3">
        <w:t xml:space="preserve">conversación científica internacional sobre </w:t>
      </w:r>
      <w:r w:rsidRPr="00F77BBB">
        <w:t xml:space="preserve">turismo de aventura y gestión de </w:t>
      </w:r>
      <w:r>
        <w:t>empresas</w:t>
      </w:r>
      <w:r w:rsidRPr="00F77BBB">
        <w:t xml:space="preserve"> en contextos emergentes</w:t>
      </w:r>
      <w:r>
        <w:t xml:space="preserve"> </w:t>
      </w:r>
      <w:r w:rsidRPr="00674AE3">
        <w:t xml:space="preserve">es todavía incipiente y está distribuida entre líneas de investigación que provienen de </w:t>
      </w:r>
      <w:r w:rsidRPr="00674AE3">
        <w:lastRenderedPageBreak/>
        <w:t>sostenibilidad, desarrollo territorial, emprendimiento, innovación y gobernanza turística, sin que</w:t>
      </w:r>
      <w:r>
        <w:t xml:space="preserve"> estén articulados en pautas o teorías críticas formuladas; más bien, </w:t>
      </w:r>
      <w:r w:rsidRPr="00674AE3">
        <w:t>responden</w:t>
      </w:r>
      <w:r>
        <w:t xml:space="preserve"> en su mayoría a investigaciones pertinentes pero dispersas de acuerdo a su contexto de aplicación. De tal forma, la interpretación e inferencia de aplicación a casos puntuales (como sería hacerlo al contexto turístico de Santander) debe ser estrictamente analítico y dependiente de las particularidades diferenciadas del entorno en el que se desarrolla.  </w:t>
      </w:r>
    </w:p>
    <w:p w14:paraId="24BDAA52" w14:textId="77777777" w:rsidR="00101059" w:rsidRPr="00674AE3" w:rsidRDefault="00101059" w:rsidP="001706FD">
      <w:pPr>
        <w:pStyle w:val="Sinespaciado"/>
        <w:spacing w:line="360" w:lineRule="auto"/>
      </w:pPr>
      <w:r>
        <w:t xml:space="preserve">En cuanto al </w:t>
      </w:r>
      <w:r w:rsidRPr="00674AE3">
        <w:t xml:space="preserve">análisis de contenido digital, </w:t>
      </w:r>
      <w:r>
        <w:t xml:space="preserve">se </w:t>
      </w:r>
      <w:r w:rsidRPr="00674AE3">
        <w:t xml:space="preserve">evidencia que el entorno digital </w:t>
      </w:r>
      <w:r>
        <w:t xml:space="preserve">más allá de vitrina publicitaria funciona como </w:t>
      </w:r>
      <w:r w:rsidRPr="00674AE3">
        <w:t xml:space="preserve">un dispositivo que </w:t>
      </w:r>
      <w:r w:rsidRPr="00674AE3">
        <w:rPr>
          <w:rStyle w:val="Textoennegrita"/>
          <w:b w:val="0"/>
          <w:bCs/>
        </w:rPr>
        <w:t>reconfigura la competencia</w:t>
      </w:r>
      <w:r w:rsidRPr="00674AE3">
        <w:t>. La muestra analizada permite concluir que el sector se presenta en redes como un mosaico de perfiles heterogéneos</w:t>
      </w:r>
      <w:r>
        <w:t xml:space="preserve"> donde empresas formales </w:t>
      </w:r>
      <w:r w:rsidRPr="00674AE3">
        <w:t xml:space="preserve">conviven con operadores informales, microemprendimientos y marcas personales que apalancan cercanía, emoción y rapidez comercial. Esta coexistencia digital configura dos lógicas de posicionamiento. Una lógica formal tiende a competir por confianza y estándares, y una lógica informal </w:t>
      </w:r>
      <w:r>
        <w:t xml:space="preserve">que destaca por su </w:t>
      </w:r>
      <w:r w:rsidRPr="00674AE3">
        <w:t>inmediatez</w:t>
      </w:r>
      <w:r>
        <w:t xml:space="preserve">, cercanía y </w:t>
      </w:r>
      <w:r w:rsidRPr="00674AE3">
        <w:t>precio, apoyándose en formatos de alto alcance (</w:t>
      </w:r>
      <w:r w:rsidRPr="00983CFC">
        <w:rPr>
          <w:i/>
          <w:iCs/>
        </w:rPr>
        <w:t>reels</w:t>
      </w:r>
      <w:r w:rsidRPr="00674AE3">
        <w:t>) y en el poder persuasivo de la experiencia representada (paisaje, adrenalina, testimonios). En ese sentido, las redes ordenan</w:t>
      </w:r>
      <w:r>
        <w:t xml:space="preserve"> el sector </w:t>
      </w:r>
      <w:r w:rsidRPr="00674AE3">
        <w:t>porque incentivan estilos comunicativos que pueden favorecer la informalidad cuando la verificación es difusa y cuando el usuario no tiene herramientas para discriminar niveles de cumplimiento.</w:t>
      </w:r>
    </w:p>
    <w:p w14:paraId="629A9208" w14:textId="77777777" w:rsidR="00101059" w:rsidRDefault="00101059" w:rsidP="001706FD">
      <w:pPr>
        <w:pStyle w:val="Sinespaciado"/>
        <w:spacing w:line="360" w:lineRule="auto"/>
      </w:pPr>
      <w:r>
        <w:t xml:space="preserve">En cuanto a los </w:t>
      </w:r>
      <w:r w:rsidRPr="00674AE3">
        <w:t xml:space="preserve">factores normativos, sociales y económicos de la baja formalización y su impacto la investigación permite concluir que la informalidad en el turismo de aventura santandereano no puede explicarse por un único factor. </w:t>
      </w:r>
    </w:p>
    <w:p w14:paraId="5EE123DB" w14:textId="77777777" w:rsidR="00101059" w:rsidRDefault="00101059" w:rsidP="001706FD">
      <w:pPr>
        <w:pStyle w:val="Sinespaciado"/>
        <w:spacing w:line="360" w:lineRule="auto"/>
      </w:pPr>
      <w:r>
        <w:t xml:space="preserve">Desde el análisis de factores realizado, </w:t>
      </w:r>
      <w:r w:rsidRPr="00674AE3">
        <w:t>la baja formalización y su impacto</w:t>
      </w:r>
      <w:r w:rsidRPr="005665C3">
        <w:t xml:space="preserve"> </w:t>
      </w:r>
      <w:r w:rsidRPr="00674AE3">
        <w:t>no puede explicarse por un único factor.</w:t>
      </w:r>
    </w:p>
    <w:p w14:paraId="7E29786C" w14:textId="77777777" w:rsidR="00101059" w:rsidRDefault="00101059" w:rsidP="001706FD">
      <w:pPr>
        <w:pStyle w:val="Sinespaciado"/>
        <w:spacing w:line="360" w:lineRule="auto"/>
      </w:pPr>
      <w:r w:rsidRPr="00674AE3">
        <w:t>Es el resultado de una interacción entre:</w:t>
      </w:r>
    </w:p>
    <w:p w14:paraId="17FDCEB5" w14:textId="77777777" w:rsidR="00101059" w:rsidRDefault="00101059" w:rsidP="001706FD">
      <w:pPr>
        <w:pStyle w:val="Sinespaciado"/>
        <w:numPr>
          <w:ilvl w:val="0"/>
          <w:numId w:val="46"/>
        </w:numPr>
        <w:spacing w:line="360" w:lineRule="auto"/>
      </w:pPr>
      <w:r>
        <w:t>U</w:t>
      </w:r>
      <w:r w:rsidRPr="00674AE3">
        <w:t xml:space="preserve">n marco normativo que establece obligaciones (RNT, estándares, sanciones) pero cuya implementación territorial es </w:t>
      </w:r>
      <w:r>
        <w:t xml:space="preserve">bastante limitada, </w:t>
      </w:r>
      <w:r w:rsidRPr="00674AE3">
        <w:t>desigual y cuya propuesta de valor no siempre es percibida como tangible por micro operadores</w:t>
      </w:r>
      <w:r>
        <w:t xml:space="preserve"> informales.</w:t>
      </w:r>
    </w:p>
    <w:p w14:paraId="7EEFB8D0" w14:textId="77777777" w:rsidR="00101059" w:rsidRDefault="00101059" w:rsidP="001706FD">
      <w:pPr>
        <w:pStyle w:val="Sinespaciado"/>
        <w:numPr>
          <w:ilvl w:val="0"/>
          <w:numId w:val="46"/>
        </w:numPr>
        <w:spacing w:line="360" w:lineRule="auto"/>
      </w:pPr>
      <w:r>
        <w:t>C</w:t>
      </w:r>
      <w:r w:rsidRPr="00674AE3">
        <w:t>ondiciones sociales asociadas a cultura de informalidad tolerada, desconfianza hacia trámites, brechas de capital humano y baja asociatividad</w:t>
      </w:r>
      <w:r>
        <w:t>.</w:t>
      </w:r>
    </w:p>
    <w:p w14:paraId="4D91F335" w14:textId="77777777" w:rsidR="00101059" w:rsidRDefault="00101059" w:rsidP="001706FD">
      <w:pPr>
        <w:pStyle w:val="Sinespaciado"/>
        <w:numPr>
          <w:ilvl w:val="0"/>
          <w:numId w:val="46"/>
        </w:numPr>
        <w:spacing w:line="360" w:lineRule="auto"/>
      </w:pPr>
      <w:r>
        <w:t>C</w:t>
      </w:r>
      <w:r w:rsidRPr="00674AE3">
        <w:t xml:space="preserve">ondiciones económicas donde predomina una microescala con estacionalidad, márgenes estrechos y competencia intensa, lo que hace que los costos fijos de cumplimiento se perciban como relativamente altos frente a ingresos irregulares. </w:t>
      </w:r>
    </w:p>
    <w:p w14:paraId="732C049A" w14:textId="77777777" w:rsidR="00101059" w:rsidRPr="00674AE3" w:rsidRDefault="00101059" w:rsidP="001706FD">
      <w:pPr>
        <w:pStyle w:val="Sinespaciado"/>
        <w:spacing w:line="360" w:lineRule="auto"/>
      </w:pPr>
      <w:r w:rsidRPr="00674AE3">
        <w:lastRenderedPageBreak/>
        <w:t>En consecuencia, la formalización no se decide solo por “conocer la norma”, sino por la relación entre costo percibido, beneficio percibido, capacidades internas y presión competitiva.</w:t>
      </w:r>
    </w:p>
    <w:p w14:paraId="3B30058C" w14:textId="77777777" w:rsidR="00101059" w:rsidRDefault="00101059" w:rsidP="001706FD">
      <w:pPr>
        <w:pStyle w:val="Sinespaciado"/>
        <w:spacing w:line="360" w:lineRule="auto"/>
      </w:pPr>
      <w:r>
        <w:t xml:space="preserve">Al contrastar los hallazgos en la triangulación realizada se puede </w:t>
      </w:r>
      <w:r w:rsidRPr="00674AE3">
        <w:t>afirmar que existe una coherencia general entre lo que los documentos institucionales señalan (microescala predominante, brechas de capacidades, informalidad, retos de competitividad) y lo que la evidencia</w:t>
      </w:r>
      <w:r>
        <w:t xml:space="preserve"> contextual de las estrategias de comunicación digital de diferentes oferentes. </w:t>
      </w:r>
      <w:r w:rsidRPr="00674AE3">
        <w:t xml:space="preserve"> </w:t>
      </w:r>
      <w:r>
        <w:t>T</w:t>
      </w:r>
      <w:r w:rsidRPr="00674AE3">
        <w:t xml:space="preserve">ambién deja ver una brecha estructural: muchas líneas de acción aparecen formuladas en planes, reportes o estrategias (formalización, sostenibilidad, clústeres, fortalecimiento), pero su aterrizaje se enfrenta a dos obstáculos persistentes. </w:t>
      </w:r>
    </w:p>
    <w:p w14:paraId="3C51B163" w14:textId="77777777" w:rsidR="00101059" w:rsidRDefault="00101059" w:rsidP="001706FD">
      <w:pPr>
        <w:pStyle w:val="Sinespaciado"/>
        <w:spacing w:line="360" w:lineRule="auto"/>
      </w:pPr>
      <w:r>
        <w:t>Para la competitividad, u</w:t>
      </w:r>
      <w:r w:rsidRPr="00674AE3">
        <w:t xml:space="preserve">na conclusión particularmente relevante </w:t>
      </w:r>
      <w:r>
        <w:t xml:space="preserve">evidenciado </w:t>
      </w:r>
      <w:r w:rsidRPr="00674AE3">
        <w:t>es que el ecosistema turístico se está moviendo hacia un modelo donde el usuario compra en redes en función de señales blandas (emociones, estética, testimonios), mientras que el Estado mide y regula mediante instrumentos que requieren trazabilidad (registro, reportes, estándares). Cuando no existe</w:t>
      </w:r>
      <w:r>
        <w:t xml:space="preserve">n puentes sencillos de comunicación </w:t>
      </w:r>
      <w:r w:rsidRPr="00674AE3">
        <w:t xml:space="preserve">entre ambos mundos </w:t>
      </w:r>
      <w:r>
        <w:t>(</w:t>
      </w:r>
      <w:r w:rsidRPr="00674AE3">
        <w:t>por ejemplo,</w:t>
      </w:r>
      <w:r>
        <w:t xml:space="preserve"> las recomendaciones realizadas basadas en </w:t>
      </w:r>
      <w:r w:rsidRPr="00674AE3">
        <w:t>mecanismos simples de verificación y comunicación de formalidad y seguridad dentro del mismo entorno digital</w:t>
      </w:r>
      <w:r>
        <w:t>)</w:t>
      </w:r>
      <w:r w:rsidRPr="00674AE3">
        <w:t xml:space="preserve"> se produce</w:t>
      </w:r>
      <w:r>
        <w:t>n</w:t>
      </w:r>
      <w:r w:rsidRPr="00674AE3">
        <w:t xml:space="preserve"> asimetría</w:t>
      </w:r>
      <w:r>
        <w:t xml:space="preserve">s derivadas de la lógica del mercado, tales como la recompensa a la inmediatez, o una mayor visibilidad. En este contexto, </w:t>
      </w:r>
      <w:r w:rsidRPr="00674AE3">
        <w:t xml:space="preserve">la informalidad puede prosperar sin que el territorio capture plenamente los beneficios del turismo. </w:t>
      </w:r>
    </w:p>
    <w:p w14:paraId="37147276" w14:textId="77777777" w:rsidR="00101059" w:rsidRDefault="00101059" w:rsidP="00101059">
      <w:pPr>
        <w:pStyle w:val="Ttulo1"/>
      </w:pPr>
      <w:bookmarkStart w:id="51" w:name="_Toc218596652"/>
      <w:r>
        <w:t>Recomendaciones</w:t>
      </w:r>
      <w:bookmarkEnd w:id="51"/>
    </w:p>
    <w:p w14:paraId="2677D6FC" w14:textId="77777777" w:rsidR="00101059" w:rsidRDefault="00101059" w:rsidP="001706FD">
      <w:pPr>
        <w:pStyle w:val="Sinespaciado"/>
        <w:spacing w:line="360" w:lineRule="auto"/>
      </w:pPr>
      <w:r>
        <w:t>Fruto de la investigación realizada se recomienda:</w:t>
      </w:r>
    </w:p>
    <w:p w14:paraId="5E7F4B46" w14:textId="21A19240" w:rsidR="00101059" w:rsidRDefault="00101059" w:rsidP="001706FD">
      <w:pPr>
        <w:pStyle w:val="Sinespaciado"/>
        <w:spacing w:line="360" w:lineRule="auto"/>
      </w:pPr>
      <w:r>
        <w:t xml:space="preserve">En primer lugar, vale la pena asumir la formalización para el sector en el departamento como una política de transición y no como un salto binario entre informalidad y cumplimiento pleno. Dado que el tejido empresarial del turismo de aventura en Santander es predominantemente micro y opera con restricciones de liquidez, tiempo y capacidades administrativas, conviene diseñar rutas escalonadas que reduzcan fricciones de entrada, prioricen requisitos críticos (seguridad, seguros, habilitaciones mínimas por actividad) y vayan incorporando progresivamente obligaciones más complejas (certificaciones, estándares avanzados, reportes). </w:t>
      </w:r>
    </w:p>
    <w:p w14:paraId="5477B271" w14:textId="77777777" w:rsidR="00101059" w:rsidRDefault="00101059" w:rsidP="001706FD">
      <w:pPr>
        <w:pStyle w:val="Sinespaciado"/>
        <w:spacing w:line="360" w:lineRule="auto"/>
      </w:pPr>
      <w:r>
        <w:t xml:space="preserve">En segundo lugar, es clave convertir la formalidad en una propuesta de valor tangible para el operador y para el turista. La investigación muestra que, en el plano comunicativo, la formalidad </w:t>
      </w:r>
      <w:r>
        <w:lastRenderedPageBreak/>
        <w:t>no siempre se traduce en una ventaja competitiva visible frente a oferentes informales con buena presencia digital. Por ello, se recomienda implementar mecanismos de señalización simples y verificables para el mercado. Esto permitiría reducir asimetrías de información en redes sociales y facilitar que el turista diferencie oferta confiable, lo que a su vez eleva el incentivo económico de formalizarse.</w:t>
      </w:r>
    </w:p>
    <w:p w14:paraId="0F05761D" w14:textId="77777777" w:rsidR="00101059" w:rsidRDefault="00101059" w:rsidP="001706FD">
      <w:pPr>
        <w:pStyle w:val="Sinespaciado"/>
        <w:spacing w:line="360" w:lineRule="auto"/>
      </w:pPr>
      <w:r>
        <w:t xml:space="preserve">Tercero, se recomienda fortalecer la interoperabilidad entre el Registro Nacional de Turismo (RNT) y los canales digitales donde ocurre la comercialización real, particularmente redes sociales y plataformas de alojamiento/experiencias. Aunque el estudio se basó en observación pública y no midió conversiones, sí evidencia que la “plaza de mercado” operativa del sector está en lo digital, y allí es donde se produce la competencia más intensa. En consecuencia, se sugiere avanzar hacia mecanismos de verificación y trazabilidad que conecten el RNT con identificadores visibles en la comunicación (por ejemplo, enlaces verificables, códigos de consulta o integraciones simples que permitan comprobar estatus de registro y pólizas). </w:t>
      </w:r>
    </w:p>
    <w:p w14:paraId="5F9100F0" w14:textId="63E84D8C" w:rsidR="00101059" w:rsidRDefault="00101059" w:rsidP="001706FD">
      <w:pPr>
        <w:pStyle w:val="Sinespaciado"/>
        <w:spacing w:line="360" w:lineRule="auto"/>
      </w:pPr>
      <w:r>
        <w:t xml:space="preserve">También, se recomienda impulsar una arquitectura de articulación sectorial más flexible que haga visible la cadena de valor real y reduzca la fragmentación observada. Dentro de las publicaciones del Análisis de Contenido Digital es evidenciable que existen articulaciones operativas implícitas (transporte, alimentación, hospedaje, guianza), pero con poca identidad colectiva y débil proyección digital. Se propone promover esquemas de gobernanza simples por nodos territoriales (por ejemplo, corredores o municipios con alta concentración de aventura), con reglas básicas de </w:t>
      </w:r>
      <w:proofErr w:type="spellStart"/>
      <w:r>
        <w:t>co-marketing</w:t>
      </w:r>
      <w:proofErr w:type="spellEnd"/>
      <w:r>
        <w:t xml:space="preserve">, estándares mínimos compartidos y mecanismos de reparto de beneficios por referidos o paquetes integrados. </w:t>
      </w:r>
    </w:p>
    <w:p w14:paraId="58DDDF30" w14:textId="77777777" w:rsidR="00101059" w:rsidRDefault="00101059" w:rsidP="001706FD">
      <w:pPr>
        <w:pStyle w:val="Sinespaciado"/>
        <w:spacing w:line="360" w:lineRule="auto"/>
      </w:pPr>
      <w:r>
        <w:t>En términos de competitividad, se recomienda alinear la inversión pública y parafiscal con resultados observables para el sector, de manera que el operador perciba retorno real por estar formalizado. Si la formalización no produce beneficios concretos (promoción efectiva, acceso a formación aplicable, posibilidad de participar en campañas institucionales, visibilidad en canales oficiales, mejoras en infraestructura turística), la racionalidad de corto plazo favorece la informalidad. Por ello, se sugiere condicionar ciertos beneficios a hitos verificables de formalización progresiva, y comunicar esos beneficios con claridad en un lenguaje operativo para el microempresario. Este círculo virtuoso (formalización que habilita visibilidad, y visibilidad que mejora ventas y reputación) es crucial para romper el ciclo de “informalidad–bajo recaudo–baja inversión–baja competitividad”.</w:t>
      </w:r>
    </w:p>
    <w:p w14:paraId="52C812C5" w14:textId="77777777" w:rsidR="00101059" w:rsidRDefault="00101059" w:rsidP="001706FD">
      <w:pPr>
        <w:pStyle w:val="Sinespaciado"/>
        <w:spacing w:line="360" w:lineRule="auto"/>
      </w:pPr>
      <w:r>
        <w:lastRenderedPageBreak/>
        <w:t xml:space="preserve">Finalmente, vale mencionar que </w:t>
      </w:r>
      <w:r w:rsidRPr="00674AE3">
        <w:t xml:space="preserve">el estudio </w:t>
      </w:r>
      <w:r>
        <w:t>tiene</w:t>
      </w:r>
      <w:r w:rsidRPr="00674AE3">
        <w:t xml:space="preserve"> límites analíticos, que</w:t>
      </w:r>
      <w:r>
        <w:t xml:space="preserve"> pueden ser interpretables como recomendaciones </w:t>
      </w:r>
      <w:r w:rsidRPr="00674AE3">
        <w:t>metodológicas</w:t>
      </w:r>
      <w:r>
        <w:t xml:space="preserve"> para futuras investigaciones en esta línea. La primera de ellas es que </w:t>
      </w:r>
      <w:r w:rsidRPr="00674AE3">
        <w:t>el análisis digital no permite inferir desempeño económico, conversión real ni cumplimiento efectivo; por tanto, los hallazgos deben leerse como patrones de posicionamiento, señales comunicativas y estructuras visibles. Asimismo, la ausencia de organizaciones comunitarias con posicionamiento digital en la muestra no implica su inexistencia en el territorio, sino que evidencia un sesgo propio del entorno analizado</w:t>
      </w:r>
      <w:r>
        <w:t xml:space="preserve"> y puntual de la muestra tomada. Además de que </w:t>
      </w:r>
      <w:r w:rsidRPr="00674AE3">
        <w:t xml:space="preserve">lo </w:t>
      </w:r>
      <w:r>
        <w:t xml:space="preserve">no visibilizado, desde el análisis realizado en </w:t>
      </w:r>
      <w:r w:rsidRPr="00674AE3">
        <w:t>redes</w:t>
      </w:r>
      <w:r>
        <w:t xml:space="preserve">, </w:t>
      </w:r>
      <w:r w:rsidRPr="00674AE3">
        <w:t xml:space="preserve">tiende a quedar fuera de la “competencia simbólica” que hoy organiza la atención turística. </w:t>
      </w:r>
    </w:p>
    <w:p w14:paraId="1E46FF20" w14:textId="77777777" w:rsidR="00101059" w:rsidRPr="00983CFC" w:rsidRDefault="00101059" w:rsidP="00101059">
      <w:pPr>
        <w:pStyle w:val="Ttulo1"/>
        <w:numPr>
          <w:ilvl w:val="0"/>
          <w:numId w:val="0"/>
        </w:numPr>
        <w:rPr>
          <w:lang w:val="en-US"/>
        </w:rPr>
      </w:pPr>
      <w:bookmarkStart w:id="52" w:name="_Toc182176468"/>
      <w:bookmarkStart w:id="53" w:name="_Toc218596653"/>
      <w:proofErr w:type="spellStart"/>
      <w:r w:rsidRPr="00983CFC">
        <w:rPr>
          <w:lang w:val="en-US"/>
        </w:rPr>
        <w:t>Referencias</w:t>
      </w:r>
      <w:proofErr w:type="spellEnd"/>
      <w:r w:rsidRPr="00983CFC">
        <w:rPr>
          <w:lang w:val="en-US"/>
        </w:rPr>
        <w:t xml:space="preserve"> </w:t>
      </w:r>
      <w:proofErr w:type="spellStart"/>
      <w:r w:rsidRPr="00983CFC">
        <w:rPr>
          <w:lang w:val="en-US"/>
        </w:rPr>
        <w:t>Bibliográficas</w:t>
      </w:r>
      <w:bookmarkEnd w:id="52"/>
      <w:bookmarkEnd w:id="53"/>
      <w:proofErr w:type="spellEnd"/>
    </w:p>
    <w:p w14:paraId="24B62673" w14:textId="77777777" w:rsidR="00101059" w:rsidRPr="000B55AA" w:rsidRDefault="00101059" w:rsidP="001706FD">
      <w:pPr>
        <w:pStyle w:val="NormalWeb"/>
        <w:spacing w:before="0" w:beforeAutospacing="0" w:after="240" w:afterAutospacing="0"/>
        <w:ind w:left="851" w:hanging="709"/>
      </w:pPr>
      <w:r w:rsidRPr="000B55AA">
        <w:rPr>
          <w:lang w:val="en-US"/>
        </w:rPr>
        <w:t xml:space="preserve">Adventure Travel Trade Association. (2013). </w:t>
      </w:r>
      <w:r w:rsidRPr="000B55AA">
        <w:rPr>
          <w:rStyle w:val="nfasis"/>
          <w:lang w:val="en-US"/>
        </w:rPr>
        <w:t>Adventure tourism market study</w:t>
      </w:r>
      <w:r w:rsidRPr="000B55AA">
        <w:rPr>
          <w:lang w:val="en-US"/>
        </w:rPr>
        <w:t xml:space="preserve">. </w:t>
      </w:r>
      <w:r w:rsidRPr="000B55AA">
        <w:t>ATTA.</w:t>
      </w:r>
    </w:p>
    <w:p w14:paraId="7AEDC99D" w14:textId="77777777" w:rsidR="00101059" w:rsidRPr="000B55AA" w:rsidRDefault="00101059" w:rsidP="001706FD">
      <w:pPr>
        <w:pStyle w:val="NormalWeb"/>
        <w:spacing w:before="0" w:beforeAutospacing="0" w:after="240" w:afterAutospacing="0"/>
        <w:ind w:left="851" w:hanging="709"/>
        <w:rPr>
          <w:rStyle w:val="relative"/>
        </w:rPr>
      </w:pPr>
      <w:proofErr w:type="spellStart"/>
      <w:r w:rsidRPr="000B55AA">
        <w:t>Agamez</w:t>
      </w:r>
      <w:proofErr w:type="spellEnd"/>
      <w:r w:rsidRPr="000B55AA">
        <w:t xml:space="preserve"> Garcés, C. J., &amp; Bejarano Fajardo, C. (2019). </w:t>
      </w:r>
      <w:r w:rsidRPr="000B55AA">
        <w:rPr>
          <w:rStyle w:val="nfasis"/>
        </w:rPr>
        <w:t xml:space="preserve">Diagnóstico del sector turismo en Barrancabermeja: análisis del microambiente y </w:t>
      </w:r>
      <w:proofErr w:type="spellStart"/>
      <w:r w:rsidRPr="000B55AA">
        <w:rPr>
          <w:rStyle w:val="nfasis"/>
        </w:rPr>
        <w:t>macroambiente</w:t>
      </w:r>
      <w:proofErr w:type="spellEnd"/>
      <w:r w:rsidRPr="000B55AA">
        <w:t xml:space="preserve">. Universidad Industrial de Santander. </w:t>
      </w:r>
    </w:p>
    <w:p w14:paraId="0F5C82F3" w14:textId="77777777" w:rsidR="00101059" w:rsidRPr="000B55AA" w:rsidRDefault="00101059" w:rsidP="001706FD">
      <w:pPr>
        <w:pStyle w:val="NormalWeb"/>
        <w:spacing w:before="0" w:beforeAutospacing="0" w:after="240" w:afterAutospacing="0"/>
        <w:ind w:left="851" w:hanging="709"/>
      </w:pPr>
      <w:proofErr w:type="spellStart"/>
      <w:r w:rsidRPr="000B55AA">
        <w:t>AmCham</w:t>
      </w:r>
      <w:proofErr w:type="spellEnd"/>
      <w:r w:rsidRPr="000B55AA">
        <w:t xml:space="preserve"> Colombia. (2017). Alta informalidad en agencias de viajes en Colombia: estimación ANATO 2017. American </w:t>
      </w:r>
      <w:proofErr w:type="spellStart"/>
      <w:r w:rsidRPr="000B55AA">
        <w:t>Chamber</w:t>
      </w:r>
      <w:proofErr w:type="spellEnd"/>
      <w:r w:rsidRPr="000B55AA">
        <w:t xml:space="preserve"> of Commerce Colombia. Disponible en: https://amchamcolombia.co/</w:t>
      </w:r>
    </w:p>
    <w:p w14:paraId="6B1861F1" w14:textId="77777777" w:rsidR="00101059" w:rsidRPr="000B55AA" w:rsidRDefault="00101059" w:rsidP="001706FD">
      <w:pPr>
        <w:pStyle w:val="NormalWeb"/>
        <w:spacing w:before="0" w:beforeAutospacing="0" w:after="240" w:afterAutospacing="0"/>
        <w:ind w:left="851" w:hanging="709"/>
        <w:rPr>
          <w:lang w:val="en-US"/>
        </w:rPr>
      </w:pPr>
      <w:proofErr w:type="spellStart"/>
      <w:r w:rsidRPr="000B55AA">
        <w:t>Anzules</w:t>
      </w:r>
      <w:proofErr w:type="spellEnd"/>
      <w:r w:rsidRPr="000B55AA">
        <w:t xml:space="preserve">-Falcones, W., Martin-Castilla, J. I., &amp; </w:t>
      </w:r>
      <w:proofErr w:type="spellStart"/>
      <w:r w:rsidRPr="000B55AA">
        <w:t>Tulcanaza</w:t>
      </w:r>
      <w:proofErr w:type="spellEnd"/>
      <w:r w:rsidRPr="000B55AA">
        <w:t xml:space="preserve">-Prieto, A. B. (2025). </w:t>
      </w:r>
      <w:r w:rsidRPr="000B55AA">
        <w:rPr>
          <w:lang w:val="en-US"/>
        </w:rPr>
        <w:t>Innovation Strategies and Business Networks: A PLS-SEM Analysis in Rural Tourism Entrepreneurship. Sustainability, 17(13), 6161.</w:t>
      </w:r>
    </w:p>
    <w:p w14:paraId="21724733" w14:textId="77777777" w:rsidR="00101059" w:rsidRPr="000B55AA" w:rsidRDefault="00101059" w:rsidP="001706FD">
      <w:pPr>
        <w:pStyle w:val="NormalWeb"/>
        <w:spacing w:before="0" w:beforeAutospacing="0" w:after="240" w:afterAutospacing="0"/>
        <w:ind w:left="851" w:hanging="709"/>
      </w:pPr>
      <w:proofErr w:type="spellStart"/>
      <w:r w:rsidRPr="000B55AA">
        <w:rPr>
          <w:lang w:val="en-US"/>
        </w:rPr>
        <w:t>Benali</w:t>
      </w:r>
      <w:proofErr w:type="spellEnd"/>
      <w:r w:rsidRPr="000B55AA">
        <w:rPr>
          <w:lang w:val="en-US"/>
        </w:rPr>
        <w:t xml:space="preserve">, A., &amp; </w:t>
      </w:r>
      <w:proofErr w:type="spellStart"/>
      <w:r w:rsidRPr="000B55AA">
        <w:rPr>
          <w:lang w:val="en-US"/>
        </w:rPr>
        <w:t>Villesèche</w:t>
      </w:r>
      <w:proofErr w:type="spellEnd"/>
      <w:r w:rsidRPr="000B55AA">
        <w:rPr>
          <w:lang w:val="en-US"/>
        </w:rPr>
        <w:t xml:space="preserve">, F. (2024). Revisiting Entrepreneurship as Emancipation: Learning from </w:t>
      </w:r>
      <w:proofErr w:type="spellStart"/>
      <w:r w:rsidRPr="000B55AA">
        <w:rPr>
          <w:lang w:val="en-US"/>
        </w:rPr>
        <w:t>subalternized</w:t>
      </w:r>
      <w:proofErr w:type="spellEnd"/>
      <w:r w:rsidRPr="000B55AA">
        <w:rPr>
          <w:lang w:val="en-US"/>
        </w:rPr>
        <w:t xml:space="preserve"> women in post-revolutionary Tunisia. </w:t>
      </w:r>
      <w:proofErr w:type="spellStart"/>
      <w:r w:rsidRPr="000B55AA">
        <w:t>Organization</w:t>
      </w:r>
      <w:proofErr w:type="spellEnd"/>
      <w:r w:rsidRPr="000B55AA">
        <w:t xml:space="preserve"> </w:t>
      </w:r>
      <w:proofErr w:type="spellStart"/>
      <w:r w:rsidRPr="000B55AA">
        <w:t>Studies</w:t>
      </w:r>
      <w:proofErr w:type="spellEnd"/>
      <w:r w:rsidRPr="000B55AA">
        <w:t>, 45(7), 939–960.</w:t>
      </w:r>
    </w:p>
    <w:p w14:paraId="382231B1" w14:textId="6D96B53E" w:rsidR="00101059" w:rsidRPr="000B55AA" w:rsidRDefault="00101059" w:rsidP="001706FD">
      <w:pPr>
        <w:pStyle w:val="NormalWeb"/>
        <w:spacing w:before="0" w:beforeAutospacing="0" w:after="240" w:afterAutospacing="0"/>
        <w:ind w:left="851" w:hanging="709"/>
      </w:pPr>
      <w:r w:rsidRPr="000B55AA">
        <w:t xml:space="preserve">Bernal, L. A. F. (2019). Un retrato de San Gil (Santander, Colombia) como destino. </w:t>
      </w:r>
      <w:r w:rsidRPr="000B55AA">
        <w:rPr>
          <w:rStyle w:val="nfasis"/>
        </w:rPr>
        <w:t>Revista</w:t>
      </w:r>
      <w:r w:rsidRPr="000B55AA">
        <w:t xml:space="preserve"> (artículo), 2019. </w:t>
      </w:r>
      <w:hyperlink r:id="rId20" w:tgtFrame="_blank" w:history="1">
        <w:r w:rsidRPr="000B55AA">
          <w:rPr>
            <w:rStyle w:val="max-w-15ch"/>
          </w:rPr>
          <w:t>Dialnet</w:t>
        </w:r>
      </w:hyperlink>
    </w:p>
    <w:p w14:paraId="12D915B1" w14:textId="77777777" w:rsidR="00101059" w:rsidRPr="00983CFC" w:rsidRDefault="00101059" w:rsidP="001706FD">
      <w:pPr>
        <w:pStyle w:val="Sinespaciado"/>
        <w:spacing w:after="240" w:line="240" w:lineRule="auto"/>
        <w:ind w:left="851" w:hanging="709"/>
      </w:pPr>
      <w:r w:rsidRPr="00983CFC">
        <w:t xml:space="preserve">Buckley, R. (2012). Adventure </w:t>
      </w:r>
      <w:proofErr w:type="spellStart"/>
      <w:r w:rsidRPr="00983CFC">
        <w:t>Tourism</w:t>
      </w:r>
      <w:proofErr w:type="spellEnd"/>
      <w:r w:rsidRPr="00983CFC">
        <w:t xml:space="preserve"> Management. Routledge.</w:t>
      </w:r>
    </w:p>
    <w:p w14:paraId="2D21D83B" w14:textId="77777777" w:rsidR="00101059" w:rsidRPr="000B55AA" w:rsidRDefault="00101059" w:rsidP="001706FD">
      <w:pPr>
        <w:pStyle w:val="NormalWeb"/>
        <w:spacing w:before="0" w:beforeAutospacing="0" w:after="240" w:afterAutospacing="0"/>
        <w:ind w:left="851" w:hanging="709"/>
      </w:pPr>
      <w:r w:rsidRPr="000B55AA">
        <w:t>Cámara de Comercio de Bucaramanga. (2024</w:t>
      </w:r>
      <w:r>
        <w:t>a</w:t>
      </w:r>
      <w:r w:rsidRPr="000B55AA">
        <w:t>). Informe de competitividad del sector turismo en Santander 2023–2024. Cámara de Comercio de Bucaramanga. Disponible en: https://www.camaradirecta.com/</w:t>
      </w:r>
    </w:p>
    <w:p w14:paraId="06711A5E" w14:textId="77777777" w:rsidR="00101059" w:rsidRPr="000B55AA" w:rsidRDefault="00101059" w:rsidP="001706FD">
      <w:pPr>
        <w:pStyle w:val="NormalWeb"/>
        <w:spacing w:before="0" w:beforeAutospacing="0" w:after="240" w:afterAutospacing="0"/>
        <w:ind w:left="851" w:hanging="709"/>
      </w:pPr>
      <w:r w:rsidRPr="000B55AA">
        <w:t>Cámara de Comercio de Bucaramanga. (2024</w:t>
      </w:r>
      <w:r>
        <w:t>b</w:t>
      </w:r>
      <w:r w:rsidRPr="000B55AA">
        <w:t>). Informe del sector turismo en Santander 2024. Disponible en: https://www.camaradirecta.com/</w:t>
      </w:r>
    </w:p>
    <w:p w14:paraId="3C0D2DD7" w14:textId="77777777" w:rsidR="00101059" w:rsidRPr="000B55AA" w:rsidRDefault="00101059" w:rsidP="001706FD">
      <w:pPr>
        <w:pStyle w:val="NormalWeb"/>
        <w:spacing w:before="0" w:beforeAutospacing="0" w:after="240" w:afterAutospacing="0"/>
        <w:ind w:left="851" w:hanging="709"/>
      </w:pPr>
      <w:r w:rsidRPr="000B55AA">
        <w:lastRenderedPageBreak/>
        <w:t xml:space="preserve">Centro de Pensamiento Turístico de Colombia. (2024). </w:t>
      </w:r>
      <w:r w:rsidRPr="000B55AA">
        <w:rPr>
          <w:rStyle w:val="nfasis"/>
        </w:rPr>
        <w:t>Índice de competitividad turística regional de Colombia – Departamentos 2024</w:t>
      </w:r>
      <w:r w:rsidRPr="000B55AA">
        <w:t>. CPTUR.</w:t>
      </w:r>
    </w:p>
    <w:p w14:paraId="60A45297" w14:textId="77777777" w:rsidR="00101059" w:rsidRPr="000B55AA" w:rsidRDefault="00101059" w:rsidP="001706FD">
      <w:pPr>
        <w:pStyle w:val="NormalWeb"/>
        <w:spacing w:before="0" w:beforeAutospacing="0" w:after="240" w:afterAutospacing="0"/>
        <w:ind w:left="851" w:hanging="709"/>
      </w:pPr>
      <w:r w:rsidRPr="000B55AA">
        <w:t>Centro de Pensamiento Turístico de Colombia. (2024). Índice de competitividad turística regional de Colombia – Departamentos 2024.</w:t>
      </w:r>
    </w:p>
    <w:p w14:paraId="1B01619F" w14:textId="77777777" w:rsidR="00101059" w:rsidRPr="000B55AA" w:rsidRDefault="00101059" w:rsidP="001706FD">
      <w:pPr>
        <w:pStyle w:val="NormalWeb"/>
        <w:spacing w:before="0" w:beforeAutospacing="0" w:after="240" w:afterAutospacing="0"/>
        <w:ind w:left="851" w:hanging="709"/>
      </w:pPr>
      <w:r w:rsidRPr="000B55AA">
        <w:t>Comisión Regional de Competitividad de Santander. (2018). Plan Regional de Competitividad de Santander 2018–2032.</w:t>
      </w:r>
    </w:p>
    <w:p w14:paraId="1F0AC06B" w14:textId="77777777" w:rsidR="00101059" w:rsidRPr="000B55AA" w:rsidRDefault="00101059" w:rsidP="001706FD">
      <w:pPr>
        <w:pStyle w:val="NormalWeb"/>
        <w:spacing w:before="0" w:beforeAutospacing="0" w:after="240" w:afterAutospacing="0"/>
        <w:ind w:left="851" w:hanging="709"/>
      </w:pPr>
      <w:r w:rsidRPr="000B55AA">
        <w:t>Comisión Regional de Competitividad de Santander. (2023). Informe de competitividad del sector turismo en Santander 2023. Disponible en: https://www.santandercompetitivo.org/</w:t>
      </w:r>
    </w:p>
    <w:p w14:paraId="7A84906D" w14:textId="77777777" w:rsidR="00101059" w:rsidRPr="000B55AA" w:rsidRDefault="00101059" w:rsidP="001706FD">
      <w:pPr>
        <w:pStyle w:val="NormalWeb"/>
        <w:spacing w:before="0" w:beforeAutospacing="0" w:after="240" w:afterAutospacing="0"/>
        <w:ind w:left="851" w:hanging="709"/>
      </w:pPr>
      <w:r w:rsidRPr="000B55AA">
        <w:t>Congreso de Colombia. (1996). Ley 300 de 1996 (Ley General de Turismo). Disponible en: http://www.secretariasenado.gov.co/senado/basedoc/ley_0300_1996.html</w:t>
      </w:r>
    </w:p>
    <w:p w14:paraId="4AA59158" w14:textId="77777777" w:rsidR="00101059" w:rsidRPr="000B55AA" w:rsidRDefault="00101059" w:rsidP="001706FD">
      <w:pPr>
        <w:pStyle w:val="NormalWeb"/>
        <w:spacing w:before="0" w:beforeAutospacing="0" w:after="240" w:afterAutospacing="0"/>
        <w:ind w:left="851" w:hanging="709"/>
      </w:pPr>
      <w:r w:rsidRPr="000B55AA">
        <w:t>Congreso de Colombia. (2020). Ley 2068 de 2020 (por la cual se modifica la Ley 300 de 1996 y se dictan otras disposiciones en materia de turismo). Disponible en: http://www.secretariasenado.gov.co/senado/basedoc/ley_2068_2020.html</w:t>
      </w:r>
    </w:p>
    <w:p w14:paraId="4CC5BE9A" w14:textId="49B3FBB1" w:rsidR="00101059" w:rsidRPr="000B55AA" w:rsidRDefault="00101059" w:rsidP="001706FD">
      <w:pPr>
        <w:pStyle w:val="NormalWeb"/>
        <w:spacing w:before="0" w:beforeAutospacing="0" w:after="240" w:afterAutospacing="0"/>
        <w:ind w:left="851" w:hanging="709"/>
      </w:pPr>
      <w:r w:rsidRPr="000B55AA">
        <w:t xml:space="preserve">Consejo Privado de Competitividad (CPC) &amp; COTELCO. (2023). </w:t>
      </w:r>
      <w:r w:rsidRPr="000B55AA">
        <w:rPr>
          <w:rStyle w:val="nfasis"/>
        </w:rPr>
        <w:t>Índice de competitividad turística regional (ICTRC) 2023: Departamentos</w:t>
      </w:r>
      <w:r w:rsidRPr="000B55AA">
        <w:t xml:space="preserve"> (panel interactivo). Disponible en: </w:t>
      </w:r>
      <w:hyperlink r:id="rId21" w:tgtFrame="_new" w:history="1">
        <w:r w:rsidRPr="000B55AA">
          <w:rPr>
            <w:rStyle w:val="Hipervnculo"/>
            <w:color w:val="auto"/>
            <w:u w:val="none"/>
          </w:rPr>
          <w:t>https://cptur.org/ICTRC/departamentos</w:t>
        </w:r>
      </w:hyperlink>
    </w:p>
    <w:p w14:paraId="592DE76C" w14:textId="18CB8BFF" w:rsidR="00101059" w:rsidRPr="000B55AA" w:rsidRDefault="00101059" w:rsidP="001706FD">
      <w:pPr>
        <w:pStyle w:val="NormalWeb"/>
        <w:spacing w:before="0" w:beforeAutospacing="0" w:after="240" w:afterAutospacing="0"/>
        <w:ind w:left="851" w:hanging="709"/>
      </w:pPr>
      <w:r w:rsidRPr="000B55AA">
        <w:t xml:space="preserve">Consejo Privado de Competitividad (CPC) &amp; COTELCO. (2024). </w:t>
      </w:r>
      <w:r w:rsidRPr="000B55AA">
        <w:rPr>
          <w:rStyle w:val="nfasis"/>
        </w:rPr>
        <w:t>Índice de competitividad turística regional (ICTRC) 2024: Departamentos</w:t>
      </w:r>
      <w:r w:rsidRPr="000B55AA">
        <w:t xml:space="preserve"> (panel interactivo). Disponible en: </w:t>
      </w:r>
      <w:hyperlink r:id="rId22" w:tgtFrame="_new" w:history="1">
        <w:r w:rsidRPr="000B55AA">
          <w:rPr>
            <w:rStyle w:val="Hipervnculo"/>
            <w:color w:val="auto"/>
            <w:u w:val="none"/>
          </w:rPr>
          <w:t>https://cptur.org/ICTRC/departamentos</w:t>
        </w:r>
      </w:hyperlink>
    </w:p>
    <w:p w14:paraId="5113ED08" w14:textId="77777777" w:rsidR="00101059" w:rsidRPr="000B55AA" w:rsidRDefault="00101059" w:rsidP="001706FD">
      <w:pPr>
        <w:pStyle w:val="NormalWeb"/>
        <w:spacing w:before="0" w:beforeAutospacing="0" w:after="240" w:afterAutospacing="0"/>
        <w:ind w:left="851" w:hanging="709"/>
      </w:pPr>
      <w:r w:rsidRPr="000B55AA">
        <w:t>COTELCO Santander. (2024). Comunicados y balance sectorial de alojamiento y empleo en Santander. Asociación Hotelera y Turística de Colombia – Capítulo Santander. Disponible en: https://cotelco.org/</w:t>
      </w:r>
    </w:p>
    <w:p w14:paraId="04791ABC" w14:textId="77777777" w:rsidR="00101059" w:rsidRPr="00983CFC" w:rsidRDefault="00101059" w:rsidP="001706FD">
      <w:pPr>
        <w:pStyle w:val="NormalWeb"/>
        <w:spacing w:before="0" w:beforeAutospacing="0" w:after="240" w:afterAutospacing="0"/>
        <w:ind w:left="851" w:hanging="709"/>
        <w:rPr>
          <w:lang w:val="en-US"/>
        </w:rPr>
      </w:pPr>
      <w:proofErr w:type="spellStart"/>
      <w:r w:rsidRPr="000B55AA">
        <w:rPr>
          <w:lang w:val="en-US"/>
        </w:rPr>
        <w:t>Ditta-Apichai</w:t>
      </w:r>
      <w:proofErr w:type="spellEnd"/>
      <w:r w:rsidRPr="000B55AA">
        <w:rPr>
          <w:lang w:val="en-US"/>
        </w:rPr>
        <w:t xml:space="preserve">, M., </w:t>
      </w:r>
      <w:proofErr w:type="spellStart"/>
      <w:r w:rsidRPr="000B55AA">
        <w:rPr>
          <w:lang w:val="en-US"/>
        </w:rPr>
        <w:t>Gretzel</w:t>
      </w:r>
      <w:proofErr w:type="spellEnd"/>
      <w:r w:rsidRPr="000B55AA">
        <w:rPr>
          <w:lang w:val="en-US"/>
        </w:rPr>
        <w:t xml:space="preserve">, U., &amp; </w:t>
      </w:r>
      <w:proofErr w:type="spellStart"/>
      <w:r w:rsidRPr="000B55AA">
        <w:rPr>
          <w:lang w:val="en-US"/>
        </w:rPr>
        <w:t>Kattiyapornpong</w:t>
      </w:r>
      <w:proofErr w:type="spellEnd"/>
      <w:r w:rsidRPr="000B55AA">
        <w:rPr>
          <w:lang w:val="en-US"/>
        </w:rPr>
        <w:t xml:space="preserve">, U. (2024). Platform empowerment: Facebook’s role in facilitating female micro-entrepreneurship in tourism. </w:t>
      </w:r>
      <w:r w:rsidRPr="00983CFC">
        <w:rPr>
          <w:lang w:val="en-US"/>
        </w:rPr>
        <w:t>Journal of Sustainable Tourism, 32(3), 540–559.</w:t>
      </w:r>
    </w:p>
    <w:p w14:paraId="35035512" w14:textId="77777777" w:rsidR="00101059" w:rsidRPr="00983CFC" w:rsidRDefault="00101059" w:rsidP="001706FD">
      <w:pPr>
        <w:pStyle w:val="Sinespaciado"/>
        <w:spacing w:after="240" w:line="240" w:lineRule="auto"/>
        <w:ind w:left="851" w:hanging="709"/>
      </w:pPr>
      <w:r w:rsidRPr="000B55AA">
        <w:rPr>
          <w:lang w:val="en-US"/>
        </w:rPr>
        <w:t xml:space="preserve">Eagles, P. F. J., McCool, S. F., &amp; Haynes, C. D. (2002). Sustainable Tourism in Protected Areas: Guidelines for Planning and Management. </w:t>
      </w:r>
      <w:r w:rsidRPr="00983CFC">
        <w:t>IUCN.</w:t>
      </w:r>
    </w:p>
    <w:p w14:paraId="5BE364E9" w14:textId="77777777" w:rsidR="00101059" w:rsidRPr="000B55AA" w:rsidRDefault="00101059" w:rsidP="001706FD">
      <w:pPr>
        <w:pStyle w:val="NormalWeb"/>
        <w:spacing w:before="0" w:beforeAutospacing="0" w:after="240" w:afterAutospacing="0"/>
        <w:ind w:left="851" w:hanging="709"/>
      </w:pPr>
      <w:r w:rsidRPr="000B55AA">
        <w:t>FONTUR. (2022). Plan Estratégico de Turismo de Santander 2022. Fondo Nacional de Turismo. Disponible en: https://fontur.com.co/</w:t>
      </w:r>
    </w:p>
    <w:p w14:paraId="3DA32286" w14:textId="77777777" w:rsidR="00101059" w:rsidRPr="000B55AA" w:rsidRDefault="00101059" w:rsidP="001706FD">
      <w:pPr>
        <w:pStyle w:val="NormalWeb"/>
        <w:spacing w:before="0" w:beforeAutospacing="0" w:after="240" w:afterAutospacing="0"/>
        <w:ind w:left="851" w:hanging="709"/>
      </w:pPr>
      <w:r w:rsidRPr="000B55AA">
        <w:t>FONTUR. (2023). Gestión de la contribución parafiscal y programas de promoción turística 2023. Fondo Nacional de Turismo. Disponible en: https://fontur.com.co/</w:t>
      </w:r>
    </w:p>
    <w:p w14:paraId="36704D64" w14:textId="53C66F2E" w:rsidR="00101059" w:rsidRPr="000B55AA" w:rsidRDefault="00101059" w:rsidP="001706FD">
      <w:pPr>
        <w:pStyle w:val="NormalWeb"/>
        <w:spacing w:before="0" w:beforeAutospacing="0" w:after="240" w:afterAutospacing="0"/>
        <w:ind w:left="851" w:hanging="709"/>
        <w:rPr>
          <w:lang w:val="en-US"/>
        </w:rPr>
      </w:pPr>
      <w:proofErr w:type="spellStart"/>
      <w:r w:rsidRPr="000B55AA">
        <w:rPr>
          <w:lang w:val="en-US"/>
        </w:rPr>
        <w:t>Gascón</w:t>
      </w:r>
      <w:proofErr w:type="spellEnd"/>
      <w:r w:rsidRPr="000B55AA">
        <w:rPr>
          <w:lang w:val="en-US"/>
        </w:rPr>
        <w:t xml:space="preserve">, J. (2021). Community-based tourism, peasant agriculture and rural transformation: The case of </w:t>
      </w:r>
      <w:proofErr w:type="spellStart"/>
      <w:r w:rsidRPr="000B55AA">
        <w:rPr>
          <w:lang w:val="en-US"/>
        </w:rPr>
        <w:t>Amantaní</w:t>
      </w:r>
      <w:proofErr w:type="spellEnd"/>
      <w:r w:rsidRPr="000B55AA">
        <w:rPr>
          <w:lang w:val="en-US"/>
        </w:rPr>
        <w:t xml:space="preserve"> Island, Lake Titicaca. </w:t>
      </w:r>
      <w:r w:rsidRPr="000B55AA">
        <w:rPr>
          <w:rStyle w:val="nfasis"/>
          <w:lang w:val="en-US"/>
        </w:rPr>
        <w:t>Journal of Agrarian Change</w:t>
      </w:r>
      <w:r w:rsidRPr="000B55AA">
        <w:rPr>
          <w:lang w:val="en-US"/>
        </w:rPr>
        <w:t xml:space="preserve">, 21(4), 692–712. </w:t>
      </w:r>
      <w:hyperlink r:id="rId23" w:tgtFrame="_blank" w:history="1">
        <w:r w:rsidRPr="000B55AA">
          <w:rPr>
            <w:rStyle w:val="max-w-15ch"/>
            <w:lang w:val="en-US"/>
          </w:rPr>
          <w:t>PMC</w:t>
        </w:r>
      </w:hyperlink>
    </w:p>
    <w:p w14:paraId="0D55BF96" w14:textId="7EA424BA" w:rsidR="00101059" w:rsidRPr="000B55AA" w:rsidRDefault="00101059" w:rsidP="001706FD">
      <w:pPr>
        <w:pStyle w:val="NormalWeb"/>
        <w:spacing w:before="0" w:beforeAutospacing="0" w:after="240" w:afterAutospacing="0"/>
        <w:ind w:left="851" w:hanging="709"/>
      </w:pPr>
      <w:proofErr w:type="spellStart"/>
      <w:r w:rsidRPr="000B55AA">
        <w:rPr>
          <w:lang w:val="en-US"/>
        </w:rPr>
        <w:lastRenderedPageBreak/>
        <w:t>Gascón</w:t>
      </w:r>
      <w:proofErr w:type="spellEnd"/>
      <w:r w:rsidRPr="000B55AA">
        <w:rPr>
          <w:lang w:val="en-US"/>
        </w:rPr>
        <w:t xml:space="preserve">, J. (2025). </w:t>
      </w:r>
      <w:proofErr w:type="spellStart"/>
      <w:r w:rsidRPr="000B55AA">
        <w:rPr>
          <w:lang w:val="en-US"/>
        </w:rPr>
        <w:t>Repeasantization</w:t>
      </w:r>
      <w:proofErr w:type="spellEnd"/>
      <w:r w:rsidRPr="000B55AA">
        <w:rPr>
          <w:lang w:val="en-US"/>
        </w:rPr>
        <w:t xml:space="preserve"> and synergy between community-based tourism and peasant agriculture in Latin America. </w:t>
      </w:r>
      <w:proofErr w:type="spellStart"/>
      <w:r w:rsidRPr="000B55AA">
        <w:rPr>
          <w:rStyle w:val="nfasis"/>
        </w:rPr>
        <w:t>Journal</w:t>
      </w:r>
      <w:proofErr w:type="spellEnd"/>
      <w:r w:rsidRPr="000B55AA">
        <w:rPr>
          <w:rStyle w:val="nfasis"/>
        </w:rPr>
        <w:t xml:space="preserve"> </w:t>
      </w:r>
      <w:proofErr w:type="spellStart"/>
      <w:r w:rsidRPr="000B55AA">
        <w:rPr>
          <w:rStyle w:val="nfasis"/>
        </w:rPr>
        <w:t>of</w:t>
      </w:r>
      <w:proofErr w:type="spellEnd"/>
      <w:r w:rsidRPr="000B55AA">
        <w:rPr>
          <w:rStyle w:val="nfasis"/>
        </w:rPr>
        <w:t xml:space="preserve"> Rural </w:t>
      </w:r>
      <w:proofErr w:type="spellStart"/>
      <w:r w:rsidRPr="000B55AA">
        <w:rPr>
          <w:rStyle w:val="nfasis"/>
        </w:rPr>
        <w:t>Studies</w:t>
      </w:r>
      <w:proofErr w:type="spellEnd"/>
      <w:r w:rsidRPr="000B55AA">
        <w:t xml:space="preserve">, 104, 1–12. </w:t>
      </w:r>
      <w:hyperlink r:id="rId24" w:tgtFrame="_blank" w:history="1">
        <w:proofErr w:type="spellStart"/>
        <w:r w:rsidRPr="000B55AA">
          <w:rPr>
            <w:rStyle w:val="max-w-15ch"/>
          </w:rPr>
          <w:t>ScienceDirect</w:t>
        </w:r>
        <w:proofErr w:type="spellEnd"/>
      </w:hyperlink>
    </w:p>
    <w:p w14:paraId="2DA39132" w14:textId="7A21FEC9" w:rsidR="00101059" w:rsidRPr="000B55AA" w:rsidRDefault="00101059" w:rsidP="001706FD">
      <w:pPr>
        <w:pStyle w:val="NormalWeb"/>
        <w:spacing w:before="0" w:beforeAutospacing="0" w:after="240" w:afterAutospacing="0"/>
        <w:ind w:left="851" w:hanging="709"/>
        <w:rPr>
          <w:lang w:val="en-US"/>
        </w:rPr>
      </w:pPr>
      <w:r w:rsidRPr="000B55AA">
        <w:t xml:space="preserve">Gómez, J. (2003). </w:t>
      </w:r>
      <w:r w:rsidRPr="000B55AA">
        <w:rPr>
          <w:rStyle w:val="nfasis"/>
        </w:rPr>
        <w:t>Ecoturismo de aventura: un turismo regional asociativo</w:t>
      </w:r>
      <w:r w:rsidRPr="000B55AA">
        <w:t xml:space="preserve">. Universidad Externado de Colombia. </w:t>
      </w:r>
      <w:hyperlink r:id="rId25" w:tgtFrame="_blank" w:history="1">
        <w:proofErr w:type="spellStart"/>
        <w:r w:rsidRPr="000B55AA">
          <w:rPr>
            <w:rStyle w:val="max-w-15ch"/>
            <w:lang w:val="en-US"/>
          </w:rPr>
          <w:t>Repositorio</w:t>
        </w:r>
        <w:proofErr w:type="spellEnd"/>
        <w:r w:rsidRPr="000B55AA">
          <w:rPr>
            <w:rStyle w:val="max-w-15ch"/>
            <w:lang w:val="en-US"/>
          </w:rPr>
          <w:t xml:space="preserve"> Digital </w:t>
        </w:r>
        <w:proofErr w:type="spellStart"/>
        <w:r w:rsidRPr="000B55AA">
          <w:rPr>
            <w:rStyle w:val="max-w-15ch"/>
            <w:lang w:val="en-US"/>
          </w:rPr>
          <w:t>Externado</w:t>
        </w:r>
        <w:proofErr w:type="spellEnd"/>
      </w:hyperlink>
    </w:p>
    <w:p w14:paraId="7705EB60" w14:textId="77777777" w:rsidR="00101059" w:rsidRPr="000B55AA" w:rsidRDefault="00101059" w:rsidP="001706FD">
      <w:pPr>
        <w:pStyle w:val="NormalWeb"/>
        <w:spacing w:before="0" w:beforeAutospacing="0" w:after="240" w:afterAutospacing="0"/>
        <w:ind w:left="851" w:hanging="709"/>
        <w:rPr>
          <w:lang w:val="en-US"/>
        </w:rPr>
      </w:pPr>
      <w:r w:rsidRPr="000B55AA">
        <w:rPr>
          <w:lang w:val="en-US"/>
        </w:rPr>
        <w:t>Goodwin, H. (2007). Taking responsibility for tourism. Goodfellow.</w:t>
      </w:r>
    </w:p>
    <w:p w14:paraId="3923B544" w14:textId="77777777" w:rsidR="00101059" w:rsidRPr="000B55AA" w:rsidRDefault="00101059" w:rsidP="001706FD">
      <w:pPr>
        <w:pStyle w:val="Sinespaciado"/>
        <w:spacing w:after="240" w:line="240" w:lineRule="auto"/>
        <w:ind w:left="851" w:hanging="709"/>
        <w:rPr>
          <w:lang w:val="en-US"/>
        </w:rPr>
      </w:pPr>
      <w:r w:rsidRPr="000B55AA">
        <w:rPr>
          <w:lang w:val="en-US"/>
        </w:rPr>
        <w:t>Hall, C. M. (2008). Tourism planning: Policies, processes and relationships (2nd ed.). Pearson.</w:t>
      </w:r>
    </w:p>
    <w:p w14:paraId="29EDC10E" w14:textId="77777777" w:rsidR="00101059" w:rsidRPr="000B55AA" w:rsidRDefault="00101059" w:rsidP="001706FD">
      <w:pPr>
        <w:pStyle w:val="NormalWeb"/>
        <w:spacing w:before="0" w:beforeAutospacing="0" w:after="240" w:afterAutospacing="0"/>
        <w:ind w:left="851" w:hanging="709"/>
        <w:rPr>
          <w:lang w:val="en-US"/>
        </w:rPr>
      </w:pPr>
      <w:r w:rsidRPr="000B55AA">
        <w:rPr>
          <w:lang w:val="en-US"/>
        </w:rPr>
        <w:t>Hall, C. M. (2011). Policy learning and policy failure in sustainable tourism governance: From first‐ to second‐order change? Journal of Sustainable Tourism, 19(4–5), 649–671.</w:t>
      </w:r>
    </w:p>
    <w:p w14:paraId="2113F747" w14:textId="77777777" w:rsidR="00101059" w:rsidRPr="000B55AA" w:rsidRDefault="00101059" w:rsidP="001706FD">
      <w:pPr>
        <w:pStyle w:val="NormalWeb"/>
        <w:spacing w:before="0" w:beforeAutospacing="0" w:after="240" w:afterAutospacing="0"/>
        <w:ind w:left="851" w:hanging="709"/>
      </w:pPr>
      <w:r w:rsidRPr="000B55AA">
        <w:rPr>
          <w:lang w:val="en-US"/>
        </w:rPr>
        <w:t>Hennig-</w:t>
      </w:r>
      <w:proofErr w:type="spellStart"/>
      <w:r w:rsidRPr="000B55AA">
        <w:rPr>
          <w:lang w:val="en-US"/>
        </w:rPr>
        <w:t>Thurau</w:t>
      </w:r>
      <w:proofErr w:type="spellEnd"/>
      <w:r w:rsidRPr="000B55AA">
        <w:rPr>
          <w:lang w:val="en-US"/>
        </w:rPr>
        <w:t xml:space="preserve">, T., </w:t>
      </w:r>
      <w:proofErr w:type="spellStart"/>
      <w:r w:rsidRPr="000B55AA">
        <w:rPr>
          <w:lang w:val="en-US"/>
        </w:rPr>
        <w:t>Gwinner</w:t>
      </w:r>
      <w:proofErr w:type="spellEnd"/>
      <w:r w:rsidRPr="000B55AA">
        <w:rPr>
          <w:lang w:val="en-US"/>
        </w:rPr>
        <w:t xml:space="preserve">, K. P., Walsh, G., &amp; </w:t>
      </w:r>
      <w:proofErr w:type="spellStart"/>
      <w:r w:rsidRPr="000B55AA">
        <w:rPr>
          <w:lang w:val="en-US"/>
        </w:rPr>
        <w:t>Gremler</w:t>
      </w:r>
      <w:proofErr w:type="spellEnd"/>
      <w:r w:rsidRPr="000B55AA">
        <w:rPr>
          <w:lang w:val="en-US"/>
        </w:rPr>
        <w:t xml:space="preserve">, D. D. (2004). Electronic word-of-mouth via consumer-opinion platforms: What motivates consumers to articulate themselves on the Internet? </w:t>
      </w:r>
      <w:r w:rsidRPr="000B55AA">
        <w:rPr>
          <w:rStyle w:val="nfasis"/>
        </w:rPr>
        <w:t xml:space="preserve">International </w:t>
      </w:r>
      <w:proofErr w:type="spellStart"/>
      <w:r w:rsidRPr="000B55AA">
        <w:rPr>
          <w:rStyle w:val="nfasis"/>
        </w:rPr>
        <w:t>Journal</w:t>
      </w:r>
      <w:proofErr w:type="spellEnd"/>
      <w:r w:rsidRPr="000B55AA">
        <w:rPr>
          <w:rStyle w:val="nfasis"/>
        </w:rPr>
        <w:t xml:space="preserve"> </w:t>
      </w:r>
      <w:proofErr w:type="spellStart"/>
      <w:r w:rsidRPr="000B55AA">
        <w:rPr>
          <w:rStyle w:val="nfasis"/>
        </w:rPr>
        <w:t>of</w:t>
      </w:r>
      <w:proofErr w:type="spellEnd"/>
      <w:r w:rsidRPr="000B55AA">
        <w:rPr>
          <w:rStyle w:val="nfasis"/>
        </w:rPr>
        <w:t xml:space="preserve"> Electronic Commerce, 8</w:t>
      </w:r>
      <w:r w:rsidRPr="000B55AA">
        <w:t>(2), 38–52.</w:t>
      </w:r>
    </w:p>
    <w:p w14:paraId="16021352" w14:textId="77777777" w:rsidR="00101059" w:rsidRPr="000B55AA" w:rsidRDefault="00101059" w:rsidP="001706FD">
      <w:pPr>
        <w:pStyle w:val="NormalWeb"/>
        <w:spacing w:before="0" w:beforeAutospacing="0" w:after="240" w:afterAutospacing="0"/>
        <w:ind w:left="851" w:hanging="709"/>
      </w:pPr>
      <w:r w:rsidRPr="000B55AA">
        <w:t>ICONTEC. (2015–2022). Normas Técnicas Sectoriales NTS–AV (Turismo).</w:t>
      </w:r>
    </w:p>
    <w:p w14:paraId="68ABF0ED" w14:textId="77777777" w:rsidR="00101059" w:rsidRPr="000B55AA" w:rsidRDefault="00101059" w:rsidP="001706FD">
      <w:pPr>
        <w:pStyle w:val="NormalWeb"/>
        <w:spacing w:before="0" w:beforeAutospacing="0" w:after="240" w:afterAutospacing="0"/>
        <w:ind w:left="851" w:hanging="709"/>
      </w:pPr>
      <w:r w:rsidRPr="000B55AA">
        <w:t>IMCT (Instituto Municipal de Cultura y Turismo de Bucaramanga). (2025). Indicadores de alojamiento y empleo en turismo – Informe 2025. IMCT. Disponible en: https://imct.gov.co/</w:t>
      </w:r>
    </w:p>
    <w:p w14:paraId="2746A085" w14:textId="77777777" w:rsidR="00101059" w:rsidRPr="00983CFC" w:rsidRDefault="00101059" w:rsidP="001706FD">
      <w:pPr>
        <w:pStyle w:val="NormalWeb"/>
        <w:spacing w:before="0" w:beforeAutospacing="0" w:after="240" w:afterAutospacing="0"/>
        <w:ind w:left="851" w:hanging="709"/>
      </w:pPr>
      <w:r w:rsidRPr="000B55AA">
        <w:t xml:space="preserve">Instituto Colombiano de Normas Técnicas y Certificación. (2015–2022). </w:t>
      </w:r>
      <w:r w:rsidRPr="000B55AA">
        <w:rPr>
          <w:rStyle w:val="nfasis"/>
        </w:rPr>
        <w:t>Normas Técnicas Sectoriales (NTS) – Turismo</w:t>
      </w:r>
      <w:r w:rsidRPr="000B55AA">
        <w:t xml:space="preserve"> [Serie NTS–AV]. </w:t>
      </w:r>
      <w:r w:rsidRPr="00983CFC">
        <w:t>ICONTEC.</w:t>
      </w:r>
    </w:p>
    <w:p w14:paraId="5B88E1C9" w14:textId="053851BF" w:rsidR="00101059" w:rsidRPr="000B55AA" w:rsidRDefault="00101059" w:rsidP="001706FD">
      <w:pPr>
        <w:pStyle w:val="NormalWeb"/>
        <w:spacing w:before="0" w:beforeAutospacing="0" w:after="240" w:afterAutospacing="0"/>
        <w:ind w:left="851" w:hanging="709"/>
      </w:pPr>
      <w:r w:rsidRPr="000B55AA">
        <w:t>Instituto Municipal de Cultura y Turismo de Bucaramanga (</w:t>
      </w:r>
      <w:proofErr w:type="spellStart"/>
      <w:r w:rsidRPr="000B55AA">
        <w:t>IMCT</w:t>
      </w:r>
      <w:r>
        <w:t>a</w:t>
      </w:r>
      <w:proofErr w:type="spellEnd"/>
      <w:r w:rsidRPr="000B55AA">
        <w:t xml:space="preserve">). (2025, mayo). </w:t>
      </w:r>
      <w:r w:rsidRPr="000B55AA">
        <w:rPr>
          <w:rStyle w:val="nfasis"/>
        </w:rPr>
        <w:t>Informe turismo consolidado 2024</w:t>
      </w:r>
      <w:r w:rsidRPr="000B55AA">
        <w:t xml:space="preserve"> (PDF). Disponible en: </w:t>
      </w:r>
      <w:hyperlink r:id="rId26" w:tgtFrame="_new" w:history="1">
        <w:r w:rsidRPr="000B55AA">
          <w:rPr>
            <w:rStyle w:val="Hipervnculo"/>
            <w:color w:val="auto"/>
            <w:u w:val="none"/>
          </w:rPr>
          <w:t>https://imct.gov.co/wp-content/uploads/2025/05/INFORME-TURISMO-CONSOLIDADO-2024_compressed.pdf</w:t>
        </w:r>
      </w:hyperlink>
    </w:p>
    <w:p w14:paraId="2D4AC332" w14:textId="5CA4AF14" w:rsidR="00101059" w:rsidRPr="000B55AA" w:rsidRDefault="00101059" w:rsidP="001706FD">
      <w:pPr>
        <w:pStyle w:val="NormalWeb"/>
        <w:spacing w:before="0" w:beforeAutospacing="0" w:after="240" w:afterAutospacing="0"/>
        <w:ind w:left="851" w:hanging="709"/>
      </w:pPr>
      <w:r w:rsidRPr="000B55AA">
        <w:t>Instituto Municipal de Cultura y Turismo de Bucaramanga (</w:t>
      </w:r>
      <w:proofErr w:type="spellStart"/>
      <w:r w:rsidRPr="000B55AA">
        <w:t>IMCTb</w:t>
      </w:r>
      <w:proofErr w:type="spellEnd"/>
      <w:r w:rsidRPr="000B55AA">
        <w:t xml:space="preserve">). (2025, octubre). </w:t>
      </w:r>
      <w:r w:rsidRPr="000B55AA">
        <w:rPr>
          <w:rStyle w:val="nfasis"/>
        </w:rPr>
        <w:t>Informe cifras de turismo Bucaramanga: Segundo trimestre 2025</w:t>
      </w:r>
      <w:r w:rsidRPr="000B55AA">
        <w:t xml:space="preserve"> (PDF). Disponible en: </w:t>
      </w:r>
      <w:hyperlink r:id="rId27" w:tgtFrame="_new" w:history="1">
        <w:r w:rsidRPr="000B55AA">
          <w:rPr>
            <w:rStyle w:val="Hipervnculo"/>
            <w:color w:val="auto"/>
            <w:u w:val="none"/>
          </w:rPr>
          <w:t>https://imct.gov.co/wp-content/uploads/2025/10/INFORME-TRIMESTRAL-2-2025.pdf</w:t>
        </w:r>
      </w:hyperlink>
    </w:p>
    <w:p w14:paraId="282F3393" w14:textId="77777777" w:rsidR="00101059" w:rsidRPr="000B55AA" w:rsidRDefault="00101059" w:rsidP="001706FD">
      <w:pPr>
        <w:pStyle w:val="NormalWeb"/>
        <w:spacing w:before="0" w:beforeAutospacing="0" w:after="240" w:afterAutospacing="0"/>
        <w:ind w:left="851" w:hanging="709"/>
        <w:rPr>
          <w:lang w:val="en-US"/>
        </w:rPr>
      </w:pPr>
      <w:r w:rsidRPr="000B55AA">
        <w:rPr>
          <w:lang w:val="en-US"/>
        </w:rPr>
        <w:t xml:space="preserve">International </w:t>
      </w:r>
      <w:proofErr w:type="spellStart"/>
      <w:r w:rsidRPr="000B55AA">
        <w:rPr>
          <w:lang w:val="en-US"/>
        </w:rPr>
        <w:t>Labour</w:t>
      </w:r>
      <w:proofErr w:type="spellEnd"/>
      <w:r w:rsidRPr="000B55AA">
        <w:rPr>
          <w:lang w:val="en-US"/>
        </w:rPr>
        <w:t xml:space="preserve"> Organization. (2015). Recommendation No. 204 concerning the transition from the informal to the formal economy.</w:t>
      </w:r>
    </w:p>
    <w:p w14:paraId="35DA6326" w14:textId="77777777" w:rsidR="00101059" w:rsidRPr="000B55AA" w:rsidRDefault="00101059" w:rsidP="001706FD">
      <w:pPr>
        <w:pStyle w:val="NormalWeb"/>
        <w:spacing w:before="0" w:beforeAutospacing="0" w:after="240" w:afterAutospacing="0"/>
        <w:ind w:left="851" w:hanging="709"/>
        <w:rPr>
          <w:lang w:val="en-US"/>
        </w:rPr>
      </w:pPr>
      <w:r w:rsidRPr="000B55AA">
        <w:rPr>
          <w:lang w:val="en-US"/>
        </w:rPr>
        <w:t xml:space="preserve">International Organization for Standardization. (2014). </w:t>
      </w:r>
      <w:r w:rsidRPr="000B55AA">
        <w:rPr>
          <w:rStyle w:val="nfasis"/>
          <w:lang w:val="en-US"/>
        </w:rPr>
        <w:t>ISO 21101: Adventure tourism—Safety management systems—Requirements.</w:t>
      </w:r>
      <w:r w:rsidRPr="000B55AA">
        <w:rPr>
          <w:lang w:val="en-US"/>
        </w:rPr>
        <w:t xml:space="preserve"> ISO.</w:t>
      </w:r>
    </w:p>
    <w:p w14:paraId="161A6CFE" w14:textId="77777777" w:rsidR="00101059" w:rsidRPr="000B55AA" w:rsidRDefault="00101059" w:rsidP="001706FD">
      <w:pPr>
        <w:pStyle w:val="NormalWeb"/>
        <w:spacing w:before="0" w:beforeAutospacing="0" w:after="240" w:afterAutospacing="0"/>
        <w:ind w:left="851" w:hanging="709"/>
        <w:rPr>
          <w:lang w:val="en-US"/>
        </w:rPr>
      </w:pPr>
      <w:r w:rsidRPr="000B55AA">
        <w:rPr>
          <w:lang w:val="en-US"/>
        </w:rPr>
        <w:t>International Organization for Standardization. (2014). ISO 21101: Adventure tourism — Safety management systems — Requirements.</w:t>
      </w:r>
    </w:p>
    <w:p w14:paraId="0ED40AFE" w14:textId="77777777" w:rsidR="00101059" w:rsidRPr="000B55AA" w:rsidRDefault="00101059" w:rsidP="001706FD">
      <w:pPr>
        <w:pStyle w:val="NormalWeb"/>
        <w:spacing w:before="0" w:beforeAutospacing="0" w:after="240" w:afterAutospacing="0"/>
        <w:ind w:left="851" w:hanging="709"/>
        <w:rPr>
          <w:lang w:val="en-US"/>
        </w:rPr>
      </w:pPr>
      <w:r w:rsidRPr="000B55AA">
        <w:rPr>
          <w:lang w:val="en-US"/>
        </w:rPr>
        <w:t xml:space="preserve">Kaplan, A. M., &amp; </w:t>
      </w:r>
      <w:proofErr w:type="spellStart"/>
      <w:r w:rsidRPr="000B55AA">
        <w:rPr>
          <w:lang w:val="en-US"/>
        </w:rPr>
        <w:t>Haenlein</w:t>
      </w:r>
      <w:proofErr w:type="spellEnd"/>
      <w:r w:rsidRPr="000B55AA">
        <w:rPr>
          <w:lang w:val="en-US"/>
        </w:rPr>
        <w:t xml:space="preserve">, M. (2010). Users of the world, unite! The challenges and opportunities of social media. </w:t>
      </w:r>
      <w:r w:rsidRPr="000B55AA">
        <w:rPr>
          <w:rStyle w:val="nfasis"/>
          <w:lang w:val="en-US"/>
        </w:rPr>
        <w:t>Business Horizons, 53</w:t>
      </w:r>
      <w:r w:rsidRPr="000B55AA">
        <w:rPr>
          <w:lang w:val="en-US"/>
        </w:rPr>
        <w:t>(1), 59–68.</w:t>
      </w:r>
    </w:p>
    <w:p w14:paraId="77B66705" w14:textId="77777777" w:rsidR="00101059" w:rsidRPr="000B55AA" w:rsidRDefault="00101059" w:rsidP="001706FD">
      <w:pPr>
        <w:pStyle w:val="NormalWeb"/>
        <w:spacing w:before="0" w:beforeAutospacing="0" w:after="240" w:afterAutospacing="0"/>
        <w:ind w:left="851" w:hanging="709"/>
        <w:rPr>
          <w:lang w:val="en-US"/>
        </w:rPr>
      </w:pPr>
      <w:r w:rsidRPr="000B55AA">
        <w:rPr>
          <w:lang w:val="en-US"/>
        </w:rPr>
        <w:lastRenderedPageBreak/>
        <w:t xml:space="preserve">Kitchenham, B. (2004). Procedures for performing systematic reviews. </w:t>
      </w:r>
      <w:proofErr w:type="spellStart"/>
      <w:r w:rsidRPr="000B55AA">
        <w:rPr>
          <w:lang w:val="en-US"/>
        </w:rPr>
        <w:t>Keele</w:t>
      </w:r>
      <w:proofErr w:type="spellEnd"/>
      <w:r w:rsidRPr="000B55AA">
        <w:rPr>
          <w:lang w:val="en-US"/>
        </w:rPr>
        <w:t xml:space="preserve"> University.</w:t>
      </w:r>
    </w:p>
    <w:p w14:paraId="2B9B263A" w14:textId="77777777" w:rsidR="00101059" w:rsidRPr="000B55AA" w:rsidRDefault="00101059" w:rsidP="001706FD">
      <w:pPr>
        <w:pStyle w:val="NormalWeb"/>
        <w:spacing w:before="0" w:beforeAutospacing="0" w:after="240" w:afterAutospacing="0"/>
        <w:ind w:left="851" w:hanging="709"/>
        <w:rPr>
          <w:lang w:val="en-US"/>
        </w:rPr>
      </w:pPr>
      <w:proofErr w:type="spellStart"/>
      <w:r w:rsidRPr="000B55AA">
        <w:rPr>
          <w:lang w:val="en-US"/>
        </w:rPr>
        <w:t>Kummitha</w:t>
      </w:r>
      <w:proofErr w:type="spellEnd"/>
      <w:r w:rsidRPr="000B55AA">
        <w:rPr>
          <w:lang w:val="en-US"/>
        </w:rPr>
        <w:t xml:space="preserve">, H. R. (2020). </w:t>
      </w:r>
      <w:proofErr w:type="gramStart"/>
      <w:r w:rsidRPr="000B55AA">
        <w:rPr>
          <w:lang w:val="en-US"/>
        </w:rPr>
        <w:t>Stakeholders</w:t>
      </w:r>
      <w:proofErr w:type="gramEnd"/>
      <w:r w:rsidRPr="000B55AA">
        <w:rPr>
          <w:lang w:val="en-US"/>
        </w:rPr>
        <w:t xml:space="preserve"> involvement towards sustaining ecotourism destinations: The case of social entrepreneurship at </w:t>
      </w:r>
      <w:proofErr w:type="spellStart"/>
      <w:r w:rsidRPr="000B55AA">
        <w:rPr>
          <w:lang w:val="en-US"/>
        </w:rPr>
        <w:t>Mangalajodi</w:t>
      </w:r>
      <w:proofErr w:type="spellEnd"/>
      <w:r w:rsidRPr="000B55AA">
        <w:rPr>
          <w:lang w:val="en-US"/>
        </w:rPr>
        <w:t xml:space="preserve"> ecotourism trust in India. </w:t>
      </w:r>
      <w:proofErr w:type="spellStart"/>
      <w:r w:rsidRPr="000B55AA">
        <w:rPr>
          <w:lang w:val="en-US"/>
        </w:rPr>
        <w:t>GeoJournal</w:t>
      </w:r>
      <w:proofErr w:type="spellEnd"/>
      <w:r w:rsidRPr="000B55AA">
        <w:rPr>
          <w:lang w:val="en-US"/>
        </w:rPr>
        <w:t xml:space="preserve"> of Tourism and </w:t>
      </w:r>
      <w:proofErr w:type="spellStart"/>
      <w:r w:rsidRPr="000B55AA">
        <w:rPr>
          <w:lang w:val="en-US"/>
        </w:rPr>
        <w:t>Geosites</w:t>
      </w:r>
      <w:proofErr w:type="spellEnd"/>
      <w:r w:rsidRPr="000B55AA">
        <w:rPr>
          <w:lang w:val="en-US"/>
        </w:rPr>
        <w:t>, 29(2), 636–648.</w:t>
      </w:r>
    </w:p>
    <w:p w14:paraId="7A1638D6" w14:textId="77777777" w:rsidR="00101059" w:rsidRPr="000B55AA" w:rsidRDefault="00101059" w:rsidP="001706FD">
      <w:pPr>
        <w:pStyle w:val="NormalWeb"/>
        <w:spacing w:before="0" w:beforeAutospacing="0" w:after="240" w:afterAutospacing="0"/>
        <w:ind w:left="851" w:hanging="709"/>
        <w:rPr>
          <w:lang w:val="en-US"/>
        </w:rPr>
      </w:pPr>
      <w:proofErr w:type="spellStart"/>
      <w:r w:rsidRPr="000B55AA">
        <w:rPr>
          <w:lang w:val="en-US"/>
        </w:rPr>
        <w:t>Kuri</w:t>
      </w:r>
      <w:proofErr w:type="spellEnd"/>
      <w:r w:rsidRPr="000B55AA">
        <w:rPr>
          <w:lang w:val="en-US"/>
        </w:rPr>
        <w:t xml:space="preserve">, B. C., </w:t>
      </w:r>
      <w:proofErr w:type="spellStart"/>
      <w:r w:rsidRPr="000B55AA">
        <w:rPr>
          <w:lang w:val="en-US"/>
        </w:rPr>
        <w:t>Nahiduzzaman</w:t>
      </w:r>
      <w:proofErr w:type="spellEnd"/>
      <w:r w:rsidRPr="000B55AA">
        <w:rPr>
          <w:lang w:val="en-US"/>
        </w:rPr>
        <w:t>, M., Dhar, B. K., Shabbir, R., &amp; Karim, R. (2025). Macroeconomic Drivers of Sustainable Tourism Development in Bangladesh: An ARDL Bounds Testing Approach. Sustainable Development, 33, 3918–3940.</w:t>
      </w:r>
    </w:p>
    <w:p w14:paraId="418F6BAB" w14:textId="77777777" w:rsidR="00101059" w:rsidRPr="000B55AA" w:rsidRDefault="00101059" w:rsidP="001706FD">
      <w:pPr>
        <w:pStyle w:val="NormalWeb"/>
        <w:spacing w:before="0" w:beforeAutospacing="0" w:after="240" w:afterAutospacing="0"/>
        <w:ind w:left="851" w:hanging="709"/>
      </w:pPr>
      <w:proofErr w:type="spellStart"/>
      <w:r w:rsidRPr="000B55AA">
        <w:rPr>
          <w:lang w:val="en-US"/>
        </w:rPr>
        <w:t>Kuri</w:t>
      </w:r>
      <w:proofErr w:type="spellEnd"/>
      <w:r w:rsidRPr="000B55AA">
        <w:rPr>
          <w:lang w:val="en-US"/>
        </w:rPr>
        <w:t xml:space="preserve">, B. C., </w:t>
      </w:r>
      <w:proofErr w:type="spellStart"/>
      <w:r w:rsidRPr="000B55AA">
        <w:rPr>
          <w:lang w:val="en-US"/>
        </w:rPr>
        <w:t>Nahiduzzaman</w:t>
      </w:r>
      <w:proofErr w:type="spellEnd"/>
      <w:r w:rsidRPr="000B55AA">
        <w:rPr>
          <w:lang w:val="en-US"/>
        </w:rPr>
        <w:t xml:space="preserve">, M., Dhar, B. K., Shabbir, R., &amp; Karim, R. (2025). Macroeconomic drivers of sustainable tourism development in Bangladesh: An ARDL bounds testing approach. </w:t>
      </w:r>
      <w:proofErr w:type="spellStart"/>
      <w:r w:rsidRPr="000B55AA">
        <w:t>Sustainable</w:t>
      </w:r>
      <w:proofErr w:type="spellEnd"/>
      <w:r w:rsidRPr="000B55AA">
        <w:t xml:space="preserve"> </w:t>
      </w:r>
      <w:proofErr w:type="spellStart"/>
      <w:r w:rsidRPr="000B55AA">
        <w:t>Development</w:t>
      </w:r>
      <w:proofErr w:type="spellEnd"/>
      <w:r w:rsidRPr="000B55AA">
        <w:t>, 33, 3918–3940.</w:t>
      </w:r>
    </w:p>
    <w:p w14:paraId="362257C3" w14:textId="34DD6FED" w:rsidR="00101059" w:rsidRPr="000B55AA" w:rsidRDefault="00101059" w:rsidP="001706FD">
      <w:pPr>
        <w:pStyle w:val="NormalWeb"/>
        <w:spacing w:before="0" w:beforeAutospacing="0" w:after="240" w:afterAutospacing="0"/>
        <w:ind w:left="851" w:hanging="709"/>
      </w:pPr>
      <w:r w:rsidRPr="000B55AA">
        <w:t xml:space="preserve">Leguizamón, M. (2016). Empleo formal e informal en el sector turístico en Colombia. </w:t>
      </w:r>
      <w:r w:rsidRPr="000B55AA">
        <w:rPr>
          <w:rStyle w:val="nfasis"/>
        </w:rPr>
        <w:t>Turismo y Sociedad</w:t>
      </w:r>
      <w:r w:rsidRPr="000B55AA">
        <w:t xml:space="preserve">, Universidad Externado de Colombia. </w:t>
      </w:r>
      <w:hyperlink r:id="rId28" w:tgtFrame="_blank" w:history="1">
        <w:r w:rsidRPr="000B55AA">
          <w:rPr>
            <w:rStyle w:val="max-w-15ch"/>
          </w:rPr>
          <w:t>Repositorio Digital Externado</w:t>
        </w:r>
      </w:hyperlink>
    </w:p>
    <w:p w14:paraId="5E8DA91B" w14:textId="77777777" w:rsidR="00101059" w:rsidRPr="000B55AA" w:rsidRDefault="00101059" w:rsidP="001706FD">
      <w:pPr>
        <w:pStyle w:val="NormalWeb"/>
        <w:spacing w:before="0" w:beforeAutospacing="0" w:after="240" w:afterAutospacing="0"/>
        <w:ind w:left="851" w:hanging="709"/>
      </w:pPr>
      <w:proofErr w:type="spellStart"/>
      <w:r w:rsidRPr="00983CFC">
        <w:t>Litvin</w:t>
      </w:r>
      <w:proofErr w:type="spellEnd"/>
      <w:r w:rsidRPr="00983CFC">
        <w:t xml:space="preserve">, S. W., Goldsmith, R. E., &amp; Pan, B. (2008). </w:t>
      </w:r>
      <w:r w:rsidRPr="000B55AA">
        <w:rPr>
          <w:lang w:val="en-US"/>
        </w:rPr>
        <w:t xml:space="preserve">Electronic word-of-mouth in hospitality and tourism management. </w:t>
      </w:r>
      <w:proofErr w:type="spellStart"/>
      <w:r w:rsidRPr="000B55AA">
        <w:rPr>
          <w:rStyle w:val="nfasis"/>
        </w:rPr>
        <w:t>Tourism</w:t>
      </w:r>
      <w:proofErr w:type="spellEnd"/>
      <w:r w:rsidRPr="000B55AA">
        <w:rPr>
          <w:rStyle w:val="nfasis"/>
        </w:rPr>
        <w:t xml:space="preserve"> Management, 29</w:t>
      </w:r>
      <w:r w:rsidRPr="000B55AA">
        <w:t>(3), 458–468.</w:t>
      </w:r>
    </w:p>
    <w:p w14:paraId="7B9D65C5" w14:textId="77777777" w:rsidR="00101059" w:rsidRPr="000B55AA" w:rsidRDefault="00101059" w:rsidP="001706FD">
      <w:pPr>
        <w:pStyle w:val="NormalWeb"/>
        <w:spacing w:before="0" w:beforeAutospacing="0" w:after="240" w:afterAutospacing="0"/>
        <w:ind w:left="851" w:hanging="709"/>
      </w:pPr>
      <w:r w:rsidRPr="000B55AA">
        <w:t xml:space="preserve">López González, J., &amp; Martínez Niño, D. K. (s. f.). </w:t>
      </w:r>
      <w:r w:rsidRPr="000B55AA">
        <w:rPr>
          <w:rStyle w:val="nfasis"/>
        </w:rPr>
        <w:t>Caracterización del turismo en el departamento de Santander</w:t>
      </w:r>
      <w:r w:rsidRPr="000B55AA">
        <w:t>. Universidad Industrial de Santander.</w:t>
      </w:r>
    </w:p>
    <w:p w14:paraId="60562529" w14:textId="77777777" w:rsidR="00101059" w:rsidRPr="000B55AA" w:rsidRDefault="00101059" w:rsidP="001706FD">
      <w:pPr>
        <w:pStyle w:val="NormalWeb"/>
        <w:spacing w:before="0" w:beforeAutospacing="0" w:after="240" w:afterAutospacing="0"/>
        <w:ind w:left="851" w:hanging="709"/>
      </w:pPr>
      <w:r w:rsidRPr="000B55AA">
        <w:t>Ministerio de Comercio, Industria y Turismo (MinCIT) &amp; Fondo Nacional de Turismo (FONTUR). (2022). Lineamientos de turismo sostenible y programas de formalización (Brigadas por la Formalización). Disponible en: https://fontur.com.co/</w:t>
      </w:r>
    </w:p>
    <w:p w14:paraId="63DC73A1" w14:textId="77777777" w:rsidR="00101059" w:rsidRPr="000B55AA" w:rsidRDefault="00101059" w:rsidP="001706FD">
      <w:pPr>
        <w:pStyle w:val="NormalWeb"/>
        <w:spacing w:before="0" w:beforeAutospacing="0" w:after="240" w:afterAutospacing="0"/>
        <w:ind w:left="851" w:hanging="709"/>
      </w:pPr>
      <w:r w:rsidRPr="000B55AA">
        <w:t xml:space="preserve">Ministerio de Comercio, Industria y Turismo (MinCIT) &amp; Fondo Nacional de Turismo (FONTUR). (2025). </w:t>
      </w:r>
      <w:r w:rsidRPr="000B55AA">
        <w:rPr>
          <w:rStyle w:val="nfasis"/>
        </w:rPr>
        <w:t>Administración de la contribución parafiscal del turismo</w:t>
      </w:r>
      <w:r w:rsidRPr="000B55AA">
        <w:t>. Disponible en: https://www.fontur.com.co/administracion-de-la-contribucion-parafiscal/</w:t>
      </w:r>
    </w:p>
    <w:p w14:paraId="1B4CCA3F" w14:textId="77777777" w:rsidR="00101059" w:rsidRPr="000B55AA" w:rsidRDefault="00101059" w:rsidP="001706FD">
      <w:pPr>
        <w:pStyle w:val="NormalWeb"/>
        <w:spacing w:before="0" w:beforeAutospacing="0" w:after="240" w:afterAutospacing="0"/>
        <w:ind w:left="851" w:hanging="709"/>
      </w:pPr>
      <w:r w:rsidRPr="000B55AA">
        <w:t>Ministerio de Comercio, Industria y Turismo (MinCIT) &amp; Fondo Nacional de Turismo (FONTUR). (2022). Lineamientos de turismo sostenible y programas de formalización (Brigadas por la Formalización). Disponible en: https://www.mincit.gov.co/prensa/noticias/turismo/ministerio-de-comercio-lidera-brigadas-de-formalizac</w:t>
      </w:r>
    </w:p>
    <w:p w14:paraId="6BF795CC" w14:textId="77777777" w:rsidR="00101059" w:rsidRPr="000B55AA" w:rsidRDefault="00101059" w:rsidP="001706FD">
      <w:pPr>
        <w:pStyle w:val="NormalWeb"/>
        <w:spacing w:before="0" w:beforeAutospacing="0" w:after="240" w:afterAutospacing="0"/>
        <w:ind w:left="851" w:hanging="709"/>
      </w:pPr>
      <w:r w:rsidRPr="000B55AA">
        <w:t>Ministerio de Comercio, Industria y Turismo (MinCIT). (2019). Decreto 957 de 2019 (por el cual se adiciona el Capítulo 13 al Título 1 de la Parte 2 del Libro 2 del Decreto 1074 de 2015…). Disponible en: https://www.mincit.gov.co/normatividad/decretos/decreto-957-de-2019</w:t>
      </w:r>
    </w:p>
    <w:p w14:paraId="143A94D2" w14:textId="77777777" w:rsidR="00101059" w:rsidRPr="000B55AA" w:rsidRDefault="00101059" w:rsidP="001706FD">
      <w:pPr>
        <w:pStyle w:val="NormalWeb"/>
        <w:spacing w:before="0" w:beforeAutospacing="0" w:after="240" w:afterAutospacing="0"/>
        <w:ind w:left="851" w:hanging="709"/>
      </w:pPr>
      <w:r w:rsidRPr="000B55AA">
        <w:t>Ministerio de Comercio, Industria y Turismo (MinCIT). (2021). Portal para empresarios del turismo: lineamientos de formalización y sostenibilidad. Disponible en: https://www.mincit.gov.co/prensa/noticias/turismo/mincit-impulsa-el-turismo-sostenible</w:t>
      </w:r>
    </w:p>
    <w:p w14:paraId="266BEA5F" w14:textId="77777777" w:rsidR="00101059" w:rsidRPr="000B55AA" w:rsidRDefault="00101059" w:rsidP="001706FD">
      <w:pPr>
        <w:pStyle w:val="NormalWeb"/>
        <w:spacing w:before="0" w:beforeAutospacing="0" w:after="240" w:afterAutospacing="0"/>
        <w:ind w:left="851" w:hanging="709"/>
      </w:pPr>
      <w:r w:rsidRPr="000B55AA">
        <w:lastRenderedPageBreak/>
        <w:t>Ministerio de Comercio, Industria y Turismo, &amp; FONTUR. (2021). Lineamientos de sostenibilidad y calidad para prestadores de servicios turísticos. MinCIT/FONTUR. Disponible en: https://www.mincit.gov.co/</w:t>
      </w:r>
    </w:p>
    <w:p w14:paraId="150B0D30" w14:textId="2E1BB2E3" w:rsidR="00101059" w:rsidRPr="000B55AA" w:rsidRDefault="00101059" w:rsidP="001706FD">
      <w:pPr>
        <w:pStyle w:val="NormalWeb"/>
        <w:spacing w:before="0" w:beforeAutospacing="0" w:after="240" w:afterAutospacing="0"/>
        <w:ind w:left="851" w:hanging="709"/>
        <w:rPr>
          <w:lang w:val="en-US"/>
        </w:rPr>
      </w:pPr>
      <w:r w:rsidRPr="000B55AA">
        <w:t xml:space="preserve">Ministerio de Comercio, Industria y Turismo. (2022). </w:t>
      </w:r>
      <w:r w:rsidRPr="000B55AA">
        <w:rPr>
          <w:rStyle w:val="nfasis"/>
        </w:rPr>
        <w:t>Plan Sectorial de Turismo 2022–2026: Turismo en armonía con la vida</w:t>
      </w:r>
      <w:r w:rsidRPr="000B55AA">
        <w:t xml:space="preserve">. </w:t>
      </w:r>
      <w:hyperlink r:id="rId29" w:tgtFrame="_blank" w:history="1">
        <w:r w:rsidRPr="000B55AA">
          <w:rPr>
            <w:rStyle w:val="max-w-15ch"/>
            <w:lang w:val="en-US"/>
          </w:rPr>
          <w:t>FONTUR</w:t>
        </w:r>
      </w:hyperlink>
    </w:p>
    <w:p w14:paraId="6405B9A3" w14:textId="77777777" w:rsidR="00101059" w:rsidRPr="000B55AA" w:rsidRDefault="00101059" w:rsidP="001706FD">
      <w:pPr>
        <w:pStyle w:val="NormalWeb"/>
        <w:spacing w:before="0" w:beforeAutospacing="0" w:after="240" w:afterAutospacing="0"/>
        <w:ind w:left="851" w:hanging="709"/>
        <w:rPr>
          <w:lang w:val="en-US"/>
        </w:rPr>
      </w:pPr>
      <w:r w:rsidRPr="000B55AA">
        <w:rPr>
          <w:lang w:val="en-US"/>
        </w:rPr>
        <w:t xml:space="preserve">Moher, D., </w:t>
      </w:r>
      <w:proofErr w:type="spellStart"/>
      <w:r w:rsidRPr="000B55AA">
        <w:rPr>
          <w:lang w:val="en-US"/>
        </w:rPr>
        <w:t>Liberati</w:t>
      </w:r>
      <w:proofErr w:type="spellEnd"/>
      <w:r w:rsidRPr="000B55AA">
        <w:rPr>
          <w:lang w:val="en-US"/>
        </w:rPr>
        <w:t xml:space="preserve">, A., </w:t>
      </w:r>
      <w:proofErr w:type="spellStart"/>
      <w:r w:rsidRPr="000B55AA">
        <w:rPr>
          <w:lang w:val="en-US"/>
        </w:rPr>
        <w:t>Tetzlaff</w:t>
      </w:r>
      <w:proofErr w:type="spellEnd"/>
      <w:r w:rsidRPr="000B55AA">
        <w:rPr>
          <w:lang w:val="en-US"/>
        </w:rPr>
        <w:t xml:space="preserve">, J., &amp; Altman, D. G. (2009). Preferred reporting items for systematic reviews and meta-analyses: The PRISMA statement. </w:t>
      </w:r>
      <w:proofErr w:type="spellStart"/>
      <w:r w:rsidRPr="000B55AA">
        <w:rPr>
          <w:lang w:val="en-US"/>
        </w:rPr>
        <w:t>PLoS</w:t>
      </w:r>
      <w:proofErr w:type="spellEnd"/>
      <w:r w:rsidRPr="000B55AA">
        <w:rPr>
          <w:lang w:val="en-US"/>
        </w:rPr>
        <w:t xml:space="preserve"> Medicine, 6(7), e1000097.</w:t>
      </w:r>
    </w:p>
    <w:p w14:paraId="4AAF7BD4" w14:textId="77777777" w:rsidR="00101059" w:rsidRPr="000B55AA" w:rsidRDefault="00101059" w:rsidP="001706FD">
      <w:pPr>
        <w:pStyle w:val="NormalWeb"/>
        <w:spacing w:before="0" w:beforeAutospacing="0" w:after="240" w:afterAutospacing="0"/>
        <w:ind w:left="851" w:hanging="709"/>
        <w:rPr>
          <w:lang w:val="en-US"/>
        </w:rPr>
      </w:pPr>
      <w:r w:rsidRPr="000B55AA">
        <w:rPr>
          <w:lang w:val="en-US"/>
        </w:rPr>
        <w:t xml:space="preserve">Neupane, B. P., Zielinski, S., &amp; </w:t>
      </w:r>
      <w:proofErr w:type="spellStart"/>
      <w:r w:rsidRPr="000B55AA">
        <w:rPr>
          <w:lang w:val="en-US"/>
        </w:rPr>
        <w:t>Milanes</w:t>
      </w:r>
      <w:proofErr w:type="spellEnd"/>
      <w:r w:rsidRPr="000B55AA">
        <w:rPr>
          <w:lang w:val="en-US"/>
        </w:rPr>
        <w:t>, C. B. (2025). Startup Success in Hospitality &amp; Tourism SMEs in Emerging Economies: How Innovation and Growth Are Driven by Entrepreneurial Orientation, Networking Strategy, Leadership, and Flexibility. Sustainability, 17(8), 3485.</w:t>
      </w:r>
    </w:p>
    <w:p w14:paraId="492E5725" w14:textId="77777777" w:rsidR="00101059" w:rsidRPr="00983CFC" w:rsidRDefault="00101059" w:rsidP="001706FD">
      <w:pPr>
        <w:pStyle w:val="Sinespaciado"/>
        <w:spacing w:after="240" w:line="240" w:lineRule="auto"/>
        <w:ind w:left="851" w:hanging="709"/>
      </w:pPr>
      <w:r w:rsidRPr="000B55AA">
        <w:rPr>
          <w:lang w:val="en-US"/>
        </w:rPr>
        <w:t xml:space="preserve">Newsome, D., Moore, S. A., &amp; Dowling, R. (2013). Natural Area Tourism: Ecology, Impacts and Management (2nd ed.). </w:t>
      </w:r>
      <w:proofErr w:type="spellStart"/>
      <w:r w:rsidRPr="00983CFC">
        <w:t>Channel</w:t>
      </w:r>
      <w:proofErr w:type="spellEnd"/>
      <w:r w:rsidRPr="00983CFC">
        <w:t xml:space="preserve"> View </w:t>
      </w:r>
      <w:proofErr w:type="spellStart"/>
      <w:r w:rsidRPr="00983CFC">
        <w:t>Publications</w:t>
      </w:r>
      <w:proofErr w:type="spellEnd"/>
      <w:r w:rsidRPr="00983CFC">
        <w:t>.</w:t>
      </w:r>
    </w:p>
    <w:p w14:paraId="11D20C32" w14:textId="77777777" w:rsidR="00101059" w:rsidRPr="000B55AA" w:rsidRDefault="00101059" w:rsidP="001706FD">
      <w:pPr>
        <w:pStyle w:val="NormalWeb"/>
        <w:spacing w:before="0" w:beforeAutospacing="0" w:after="240" w:afterAutospacing="0"/>
        <w:ind w:left="851" w:hanging="709"/>
      </w:pPr>
      <w:r w:rsidRPr="000B55AA">
        <w:t>Observatorio de Turismo de Bucaramanga. (2025). Boletín sectorial de turismo: Enero–abril 2025. Instituto Municipal de Cultura y Turismo de Bucaramanga. Disponible en: https://imct.gov.co/</w:t>
      </w:r>
    </w:p>
    <w:p w14:paraId="422AA744" w14:textId="77777777" w:rsidR="00101059" w:rsidRPr="000B55AA" w:rsidRDefault="00101059" w:rsidP="001706FD">
      <w:pPr>
        <w:pStyle w:val="NormalWeb"/>
        <w:spacing w:before="0" w:beforeAutospacing="0" w:after="240" w:afterAutospacing="0"/>
        <w:ind w:left="851" w:hanging="709"/>
        <w:rPr>
          <w:lang w:val="en-US"/>
        </w:rPr>
      </w:pPr>
      <w:proofErr w:type="spellStart"/>
      <w:r w:rsidRPr="000B55AA">
        <w:rPr>
          <w:lang w:val="en-US"/>
        </w:rPr>
        <w:t>Organización</w:t>
      </w:r>
      <w:proofErr w:type="spellEnd"/>
      <w:r w:rsidRPr="000B55AA">
        <w:rPr>
          <w:lang w:val="en-US"/>
        </w:rPr>
        <w:t xml:space="preserve"> Mundial del Turismo. (2022). Tourism and COVID-19: A two-year review. OMT.</w:t>
      </w:r>
    </w:p>
    <w:p w14:paraId="795FB204" w14:textId="77777777" w:rsidR="00101059" w:rsidRPr="00983CFC" w:rsidRDefault="00101059" w:rsidP="001706FD">
      <w:pPr>
        <w:pStyle w:val="NormalWeb"/>
        <w:spacing w:before="0" w:beforeAutospacing="0" w:after="240" w:afterAutospacing="0"/>
        <w:ind w:left="851" w:hanging="709"/>
        <w:rPr>
          <w:lang w:val="en-US"/>
        </w:rPr>
      </w:pPr>
      <w:r w:rsidRPr="000B55AA">
        <w:rPr>
          <w:lang w:val="en-US"/>
        </w:rPr>
        <w:t xml:space="preserve">Pandya, R., Dev, H. S., Rai, N. D., &amp; Fletcher, R. (2023). Rendering land </w:t>
      </w:r>
      <w:proofErr w:type="spellStart"/>
      <w:r w:rsidRPr="000B55AA">
        <w:rPr>
          <w:lang w:val="en-US"/>
        </w:rPr>
        <w:t>touristifiable</w:t>
      </w:r>
      <w:proofErr w:type="spellEnd"/>
      <w:r w:rsidRPr="000B55AA">
        <w:rPr>
          <w:lang w:val="en-US"/>
        </w:rPr>
        <w:t xml:space="preserve">: (eco)tourism and land use change. </w:t>
      </w:r>
      <w:r w:rsidRPr="00983CFC">
        <w:rPr>
          <w:lang w:val="en-US"/>
        </w:rPr>
        <w:t>Tourism Geographies, 25(4), 1068–1084.</w:t>
      </w:r>
    </w:p>
    <w:p w14:paraId="673D4D3F" w14:textId="77777777" w:rsidR="00101059" w:rsidRPr="00983CFC" w:rsidRDefault="00101059" w:rsidP="001706FD">
      <w:pPr>
        <w:pStyle w:val="Sinespaciado"/>
        <w:spacing w:after="240" w:line="240" w:lineRule="auto"/>
        <w:ind w:left="851" w:hanging="709"/>
      </w:pPr>
      <w:r w:rsidRPr="000B55AA">
        <w:rPr>
          <w:lang w:val="en-US"/>
        </w:rPr>
        <w:t xml:space="preserve">Porter, M. E. (1990). The competitive advantage of nations. </w:t>
      </w:r>
      <w:r w:rsidRPr="00983CFC">
        <w:t xml:space="preserve">Free </w:t>
      </w:r>
      <w:proofErr w:type="spellStart"/>
      <w:r w:rsidRPr="00983CFC">
        <w:t>Press</w:t>
      </w:r>
      <w:proofErr w:type="spellEnd"/>
      <w:r w:rsidRPr="00983CFC">
        <w:t>.</w:t>
      </w:r>
    </w:p>
    <w:p w14:paraId="35C9453A" w14:textId="77777777" w:rsidR="00101059" w:rsidRPr="000B55AA" w:rsidRDefault="00101059" w:rsidP="001706FD">
      <w:pPr>
        <w:pStyle w:val="NormalWeb"/>
        <w:spacing w:before="0" w:beforeAutospacing="0" w:after="240" w:afterAutospacing="0"/>
        <w:ind w:left="851" w:hanging="709"/>
      </w:pPr>
      <w:r w:rsidRPr="000B55AA">
        <w:rPr>
          <w:rStyle w:val="nfasis"/>
        </w:rPr>
        <w:t>Propuesta de una ruta turística para el turismo de aventura en el municipio de San Gil, Santander</w:t>
      </w:r>
      <w:r w:rsidRPr="000B55AA">
        <w:t>. (2021). Universidad de Investigación y Desarrollo (UDI).</w:t>
      </w:r>
    </w:p>
    <w:p w14:paraId="057185A9" w14:textId="77777777" w:rsidR="00101059" w:rsidRPr="000B55AA" w:rsidRDefault="00101059" w:rsidP="001706FD">
      <w:pPr>
        <w:pStyle w:val="NormalWeb"/>
        <w:spacing w:before="0" w:beforeAutospacing="0" w:after="240" w:afterAutospacing="0"/>
        <w:ind w:left="851" w:hanging="709"/>
      </w:pPr>
      <w:r w:rsidRPr="000B55AA">
        <w:t xml:space="preserve">República de Colombia. (1996). </w:t>
      </w:r>
      <w:r w:rsidRPr="000B55AA">
        <w:rPr>
          <w:rStyle w:val="nfasis"/>
        </w:rPr>
        <w:t>Ley 300 de 1996 (Ley General de Turismo).</w:t>
      </w:r>
      <w:r w:rsidRPr="000B55AA">
        <w:t xml:space="preserve"> Congreso de la República.</w:t>
      </w:r>
    </w:p>
    <w:p w14:paraId="6F2151B9" w14:textId="77777777" w:rsidR="00101059" w:rsidRPr="000B55AA" w:rsidRDefault="00101059" w:rsidP="001706FD">
      <w:pPr>
        <w:pStyle w:val="NormalWeb"/>
        <w:spacing w:before="0" w:beforeAutospacing="0" w:after="240" w:afterAutospacing="0"/>
        <w:ind w:left="851" w:hanging="709"/>
      </w:pPr>
      <w:r w:rsidRPr="000B55AA">
        <w:t xml:space="preserve">República de Colombia. (2019). </w:t>
      </w:r>
      <w:r w:rsidRPr="000B55AA">
        <w:rPr>
          <w:rStyle w:val="nfasis"/>
        </w:rPr>
        <w:t>Decreto 957 de 2019 (Clasificación de micro, pequeñas, medianas y grandes empresas).</w:t>
      </w:r>
      <w:r w:rsidRPr="000B55AA">
        <w:t xml:space="preserve"> Ministerio de Comercio, Industria y Turismo.</w:t>
      </w:r>
    </w:p>
    <w:p w14:paraId="6C492249" w14:textId="77777777" w:rsidR="00101059" w:rsidRPr="000B55AA" w:rsidRDefault="00101059" w:rsidP="001706FD">
      <w:pPr>
        <w:pStyle w:val="NormalWeb"/>
        <w:spacing w:before="0" w:beforeAutospacing="0" w:after="240" w:afterAutospacing="0"/>
        <w:ind w:left="851" w:hanging="709"/>
      </w:pPr>
      <w:r w:rsidRPr="000B55AA">
        <w:t xml:space="preserve">República de Colombia. (2020). </w:t>
      </w:r>
      <w:r w:rsidRPr="000B55AA">
        <w:rPr>
          <w:rStyle w:val="nfasis"/>
        </w:rPr>
        <w:t>Ley 2068 de 2020 (Por la cual se modifica la Ley General de Turismo y se dictan otras disposiciones).</w:t>
      </w:r>
      <w:r w:rsidRPr="000B55AA">
        <w:t xml:space="preserve"> Congreso de la República.</w:t>
      </w:r>
    </w:p>
    <w:p w14:paraId="4CB542EE" w14:textId="77777777" w:rsidR="00101059" w:rsidRPr="00983CFC" w:rsidRDefault="00101059" w:rsidP="001706FD">
      <w:pPr>
        <w:pStyle w:val="Sinespaciado"/>
        <w:spacing w:after="240" w:line="240" w:lineRule="auto"/>
        <w:ind w:left="851" w:hanging="709"/>
      </w:pPr>
      <w:r w:rsidRPr="00983CFC">
        <w:t xml:space="preserve">Ritchie, J. R. B., &amp; </w:t>
      </w:r>
      <w:proofErr w:type="spellStart"/>
      <w:r w:rsidRPr="00983CFC">
        <w:t>Crouch</w:t>
      </w:r>
      <w:proofErr w:type="spellEnd"/>
      <w:r w:rsidRPr="00983CFC">
        <w:t xml:space="preserve">, G. I. (2003). </w:t>
      </w:r>
      <w:r w:rsidRPr="000B55AA">
        <w:rPr>
          <w:lang w:val="en-US"/>
        </w:rPr>
        <w:t xml:space="preserve">The Competitive Destination: A Sustainable Tourism Perspective. </w:t>
      </w:r>
      <w:r w:rsidRPr="00983CFC">
        <w:t>CABI.</w:t>
      </w:r>
    </w:p>
    <w:p w14:paraId="60D57A67" w14:textId="77777777" w:rsidR="00101059" w:rsidRPr="00983CFC" w:rsidRDefault="00101059" w:rsidP="001706FD">
      <w:pPr>
        <w:pStyle w:val="NormalWeb"/>
        <w:spacing w:before="0" w:beforeAutospacing="0" w:after="240" w:afterAutospacing="0"/>
        <w:ind w:left="851" w:hanging="709"/>
        <w:rPr>
          <w:lang w:val="en-US"/>
        </w:rPr>
      </w:pPr>
      <w:r w:rsidRPr="000B55AA">
        <w:lastRenderedPageBreak/>
        <w:t xml:space="preserve">Santander Competitivo. (2018). Plan Regional de Competitividad de Santander 2018–2032. Consejo Departamental de Competitividad de Santander. </w:t>
      </w:r>
      <w:r w:rsidRPr="00983CFC">
        <w:rPr>
          <w:lang w:val="en-US"/>
        </w:rPr>
        <w:t>Disponible en: https://santandercompetitivo.org/</w:t>
      </w:r>
    </w:p>
    <w:p w14:paraId="78C5A85E" w14:textId="77777777" w:rsidR="00101059" w:rsidRPr="000B55AA" w:rsidRDefault="00101059" w:rsidP="001706FD">
      <w:pPr>
        <w:pStyle w:val="Sinespaciado"/>
        <w:spacing w:after="240" w:line="240" w:lineRule="auto"/>
        <w:ind w:left="851" w:hanging="709"/>
      </w:pPr>
      <w:r w:rsidRPr="000B55AA">
        <w:rPr>
          <w:lang w:val="en-US"/>
        </w:rPr>
        <w:t xml:space="preserve">Scott, W. R. (2008). Institutions and organizations: Ideas and interests (3rd ed.). </w:t>
      </w:r>
      <w:r w:rsidRPr="000B55AA">
        <w:t>SAGE.</w:t>
      </w:r>
    </w:p>
    <w:p w14:paraId="51D90E04" w14:textId="77AA757E" w:rsidR="00101059" w:rsidRPr="000B55AA" w:rsidRDefault="00101059" w:rsidP="001706FD">
      <w:pPr>
        <w:pStyle w:val="NormalWeb"/>
        <w:spacing w:before="0" w:beforeAutospacing="0" w:after="240" w:afterAutospacing="0"/>
        <w:ind w:left="851" w:hanging="709"/>
        <w:rPr>
          <w:lang w:val="en-US"/>
        </w:rPr>
      </w:pPr>
      <w:r w:rsidRPr="000B55AA">
        <w:t xml:space="preserve">SENA. (2014). Con el SENA el turismo es toda una aventura. Servicio Nacional de Aprendizaje (nota institucional). </w:t>
      </w:r>
      <w:hyperlink r:id="rId30" w:tgtFrame="_blank" w:history="1">
        <w:proofErr w:type="spellStart"/>
        <w:r w:rsidRPr="000B55AA">
          <w:rPr>
            <w:rStyle w:val="max-w-15ch"/>
            <w:lang w:val="en-US"/>
          </w:rPr>
          <w:t>Sena</w:t>
        </w:r>
        <w:proofErr w:type="spellEnd"/>
      </w:hyperlink>
    </w:p>
    <w:p w14:paraId="0EFB90A3" w14:textId="77777777" w:rsidR="00101059" w:rsidRPr="000B55AA" w:rsidRDefault="00101059" w:rsidP="001706FD">
      <w:pPr>
        <w:pStyle w:val="NormalWeb"/>
        <w:spacing w:before="0" w:beforeAutospacing="0" w:after="240" w:afterAutospacing="0"/>
        <w:ind w:left="851" w:hanging="709"/>
        <w:rPr>
          <w:lang w:val="en-US"/>
        </w:rPr>
      </w:pPr>
      <w:r w:rsidRPr="000B55AA">
        <w:rPr>
          <w:lang w:val="en-US"/>
        </w:rPr>
        <w:t xml:space="preserve">Shang, Y., Bi, C., Wei, X., Jiang, D., </w:t>
      </w:r>
      <w:proofErr w:type="spellStart"/>
      <w:r w:rsidRPr="000B55AA">
        <w:rPr>
          <w:lang w:val="en-US"/>
        </w:rPr>
        <w:t>Taghizadeh-Hesary</w:t>
      </w:r>
      <w:proofErr w:type="spellEnd"/>
      <w:r w:rsidRPr="000B55AA">
        <w:rPr>
          <w:lang w:val="en-US"/>
        </w:rPr>
        <w:t xml:space="preserve">, F., &amp; </w:t>
      </w:r>
      <w:proofErr w:type="spellStart"/>
      <w:r w:rsidRPr="000B55AA">
        <w:rPr>
          <w:lang w:val="en-US"/>
        </w:rPr>
        <w:t>Rasoulinezhad</w:t>
      </w:r>
      <w:proofErr w:type="spellEnd"/>
      <w:r w:rsidRPr="000B55AA">
        <w:rPr>
          <w:lang w:val="en-US"/>
        </w:rPr>
        <w:t>, E. (2023). Eco-tourism, climate change, and environmental policies: Empirical evidence from developing economies. Humanities and Social Sciences Communications, 10(275).</w:t>
      </w:r>
    </w:p>
    <w:p w14:paraId="63E8873E" w14:textId="77777777" w:rsidR="00101059" w:rsidRPr="00983CFC" w:rsidRDefault="00101059" w:rsidP="001706FD">
      <w:pPr>
        <w:pStyle w:val="NormalWeb"/>
        <w:spacing w:before="0" w:beforeAutospacing="0" w:after="240" w:afterAutospacing="0"/>
        <w:ind w:left="851" w:hanging="709"/>
        <w:rPr>
          <w:lang w:val="en-US"/>
        </w:rPr>
      </w:pPr>
      <w:proofErr w:type="spellStart"/>
      <w:r w:rsidRPr="000B55AA">
        <w:rPr>
          <w:lang w:val="en-US"/>
        </w:rPr>
        <w:t>Stoffelen</w:t>
      </w:r>
      <w:proofErr w:type="spellEnd"/>
      <w:r w:rsidRPr="000B55AA">
        <w:rPr>
          <w:lang w:val="en-US"/>
        </w:rPr>
        <w:t xml:space="preserve">, A., </w:t>
      </w:r>
      <w:proofErr w:type="spellStart"/>
      <w:r w:rsidRPr="000B55AA">
        <w:rPr>
          <w:lang w:val="en-US"/>
        </w:rPr>
        <w:t>Adiyia</w:t>
      </w:r>
      <w:proofErr w:type="spellEnd"/>
      <w:r w:rsidRPr="000B55AA">
        <w:rPr>
          <w:lang w:val="en-US"/>
        </w:rPr>
        <w:t xml:space="preserve">, B., Vanneste, D., &amp; Kotze, N. (2020). Post-apartheid local sustainable development through tourism: an analysis of policy perceptions among ‘responsible’ tourism stakeholders around Pilanesberg National Park, South Africa. </w:t>
      </w:r>
      <w:r w:rsidRPr="00983CFC">
        <w:rPr>
          <w:lang w:val="en-US"/>
        </w:rPr>
        <w:t>Journal of Sustainable Tourism, 28(3), 414–432.</w:t>
      </w:r>
    </w:p>
    <w:p w14:paraId="6A99410B" w14:textId="77777777" w:rsidR="00101059" w:rsidRPr="000B55AA" w:rsidRDefault="00101059" w:rsidP="001706FD">
      <w:pPr>
        <w:pStyle w:val="NormalWeb"/>
        <w:spacing w:before="0" w:beforeAutospacing="0" w:after="240" w:afterAutospacing="0"/>
        <w:ind w:left="851" w:hanging="709"/>
        <w:rPr>
          <w:lang w:val="en-US"/>
        </w:rPr>
      </w:pPr>
      <w:r w:rsidRPr="000B55AA">
        <w:rPr>
          <w:lang w:val="en-US"/>
        </w:rPr>
        <w:t>Thaler, R. H., &amp; Sunstein, C. R. (2008). Nudge: Improving decisions about health, wealth, and happiness. Yale University Press. Disponible en: https://yalebooks.yale.edu/9780300122237/nudge/</w:t>
      </w:r>
    </w:p>
    <w:p w14:paraId="146135F0" w14:textId="77777777" w:rsidR="00101059" w:rsidRPr="00983CFC" w:rsidRDefault="00101059" w:rsidP="001706FD">
      <w:pPr>
        <w:pStyle w:val="Sinespaciado"/>
        <w:spacing w:after="240" w:line="240" w:lineRule="auto"/>
        <w:ind w:left="851" w:hanging="709"/>
        <w:rPr>
          <w:lang w:val="en-US"/>
        </w:rPr>
      </w:pPr>
      <w:r w:rsidRPr="000B55AA">
        <w:rPr>
          <w:lang w:val="en-US"/>
        </w:rPr>
        <w:t xml:space="preserve">UNEP &amp; UNWTO. (2005). Making Tourism More Sustainable: A Guide for Policy Makers. </w:t>
      </w:r>
      <w:r w:rsidRPr="00983CFC">
        <w:rPr>
          <w:lang w:val="en-US"/>
        </w:rPr>
        <w:t xml:space="preserve">United Nations Environment </w:t>
      </w:r>
      <w:proofErr w:type="spellStart"/>
      <w:r w:rsidRPr="00983CFC">
        <w:rPr>
          <w:lang w:val="en-US"/>
        </w:rPr>
        <w:t>Programme</w:t>
      </w:r>
      <w:proofErr w:type="spellEnd"/>
      <w:r w:rsidRPr="00983CFC">
        <w:rPr>
          <w:lang w:val="en-US"/>
        </w:rPr>
        <w:t xml:space="preserve"> &amp; World Tourism Organization.</w:t>
      </w:r>
    </w:p>
    <w:p w14:paraId="705F0416" w14:textId="616A6A78" w:rsidR="00101059" w:rsidRPr="000B55AA" w:rsidRDefault="00101059" w:rsidP="001706FD">
      <w:pPr>
        <w:pStyle w:val="NormalWeb"/>
        <w:spacing w:before="0" w:beforeAutospacing="0" w:after="240" w:afterAutospacing="0"/>
        <w:ind w:left="851" w:hanging="709"/>
        <w:rPr>
          <w:lang w:val="en-US"/>
        </w:rPr>
      </w:pPr>
      <w:proofErr w:type="spellStart"/>
      <w:r w:rsidRPr="00983CFC">
        <w:rPr>
          <w:lang w:val="en-US"/>
        </w:rPr>
        <w:t>Villamil</w:t>
      </w:r>
      <w:proofErr w:type="spellEnd"/>
      <w:r w:rsidRPr="00983CFC">
        <w:rPr>
          <w:lang w:val="en-US"/>
        </w:rPr>
        <w:t xml:space="preserve">, J. E. R. (2021). </w:t>
      </w:r>
      <w:r w:rsidRPr="000B55AA">
        <w:rPr>
          <w:rStyle w:val="nfasis"/>
        </w:rPr>
        <w:t>Análisis del impacto del ecoturismo en San Gil (Santander)</w:t>
      </w:r>
      <w:r w:rsidRPr="000B55AA">
        <w:t xml:space="preserve">. </w:t>
      </w:r>
      <w:r w:rsidRPr="000B55AA">
        <w:rPr>
          <w:lang w:val="en-US"/>
        </w:rPr>
        <w:t xml:space="preserve">Universidad </w:t>
      </w:r>
      <w:proofErr w:type="spellStart"/>
      <w:r w:rsidRPr="000B55AA">
        <w:rPr>
          <w:lang w:val="en-US"/>
        </w:rPr>
        <w:t>Cooperativa</w:t>
      </w:r>
      <w:proofErr w:type="spellEnd"/>
      <w:r w:rsidRPr="000B55AA">
        <w:rPr>
          <w:lang w:val="en-US"/>
        </w:rPr>
        <w:t xml:space="preserve"> de Colombia. </w:t>
      </w:r>
      <w:hyperlink r:id="rId31" w:tgtFrame="_blank" w:history="1">
        <w:proofErr w:type="spellStart"/>
        <w:r w:rsidRPr="000B55AA">
          <w:rPr>
            <w:rStyle w:val="max-w-15ch"/>
            <w:lang w:val="en-US"/>
          </w:rPr>
          <w:t>Repositorio</w:t>
        </w:r>
        <w:proofErr w:type="spellEnd"/>
        <w:r w:rsidRPr="000B55AA">
          <w:rPr>
            <w:rStyle w:val="max-w-15ch"/>
            <w:lang w:val="en-US"/>
          </w:rPr>
          <w:t xml:space="preserve"> UCC</w:t>
        </w:r>
      </w:hyperlink>
    </w:p>
    <w:p w14:paraId="082CC046" w14:textId="77777777" w:rsidR="00101059" w:rsidRPr="000B55AA" w:rsidRDefault="00101059" w:rsidP="001706FD">
      <w:pPr>
        <w:pStyle w:val="NormalWeb"/>
        <w:spacing w:before="0" w:beforeAutospacing="0" w:after="240" w:afterAutospacing="0"/>
        <w:ind w:left="851" w:hanging="709"/>
        <w:rPr>
          <w:lang w:val="en-US"/>
        </w:rPr>
      </w:pPr>
      <w:r w:rsidRPr="000B55AA">
        <w:rPr>
          <w:lang w:val="en-US"/>
        </w:rPr>
        <w:t xml:space="preserve">World Economic Forum. (2024). </w:t>
      </w:r>
      <w:r w:rsidRPr="000B55AA">
        <w:rPr>
          <w:rStyle w:val="nfasis"/>
          <w:lang w:val="en-US"/>
        </w:rPr>
        <w:t>Travel &amp; Tourism Development Index 2024.</w:t>
      </w:r>
      <w:r w:rsidRPr="000B55AA">
        <w:rPr>
          <w:lang w:val="en-US"/>
        </w:rPr>
        <w:t xml:space="preserve"> WEF.</w:t>
      </w:r>
    </w:p>
    <w:p w14:paraId="37D8EFB5" w14:textId="77777777" w:rsidR="00101059" w:rsidRPr="000B55AA" w:rsidRDefault="00101059" w:rsidP="001706FD">
      <w:pPr>
        <w:pStyle w:val="NormalWeb"/>
        <w:spacing w:before="0" w:beforeAutospacing="0" w:after="240" w:afterAutospacing="0"/>
        <w:ind w:left="851" w:hanging="709"/>
        <w:rPr>
          <w:lang w:val="en-US"/>
        </w:rPr>
      </w:pPr>
      <w:r w:rsidRPr="000B55AA">
        <w:rPr>
          <w:lang w:val="en-US"/>
        </w:rPr>
        <w:t xml:space="preserve">World Tourism Organization. (2019). </w:t>
      </w:r>
      <w:r w:rsidRPr="000B55AA">
        <w:rPr>
          <w:rStyle w:val="nfasis"/>
          <w:lang w:val="en-US"/>
        </w:rPr>
        <w:t>UNWTO tourism definitions.</w:t>
      </w:r>
      <w:r w:rsidRPr="000B55AA">
        <w:rPr>
          <w:lang w:val="en-US"/>
        </w:rPr>
        <w:t xml:space="preserve"> UNWTO.</w:t>
      </w:r>
    </w:p>
    <w:p w14:paraId="1870C806" w14:textId="77777777" w:rsidR="00101059" w:rsidRPr="000B55AA" w:rsidRDefault="00101059" w:rsidP="001706FD">
      <w:pPr>
        <w:pStyle w:val="NormalWeb"/>
        <w:spacing w:before="0" w:beforeAutospacing="0" w:after="240" w:afterAutospacing="0"/>
        <w:ind w:left="851" w:hanging="709"/>
        <w:rPr>
          <w:lang w:val="en-US"/>
        </w:rPr>
      </w:pPr>
      <w:r w:rsidRPr="000B55AA">
        <w:rPr>
          <w:lang w:val="en-US"/>
        </w:rPr>
        <w:t xml:space="preserve">Xiang, Z., &amp; </w:t>
      </w:r>
      <w:proofErr w:type="spellStart"/>
      <w:r w:rsidRPr="000B55AA">
        <w:rPr>
          <w:lang w:val="en-US"/>
        </w:rPr>
        <w:t>Gretzel</w:t>
      </w:r>
      <w:proofErr w:type="spellEnd"/>
      <w:r w:rsidRPr="000B55AA">
        <w:rPr>
          <w:lang w:val="en-US"/>
        </w:rPr>
        <w:t xml:space="preserve">, U. (2010). Role of social media in online travel information search. </w:t>
      </w:r>
      <w:r w:rsidRPr="000B55AA">
        <w:rPr>
          <w:rStyle w:val="nfasis"/>
          <w:lang w:val="en-US"/>
        </w:rPr>
        <w:t>Tourism Management, 31</w:t>
      </w:r>
      <w:r w:rsidRPr="000B55AA">
        <w:rPr>
          <w:lang w:val="en-US"/>
        </w:rPr>
        <w:t>(2), 179–188.</w:t>
      </w:r>
    </w:p>
    <w:p w14:paraId="652CC3C0" w14:textId="015E9C5B" w:rsidR="00101059" w:rsidRDefault="00101059" w:rsidP="009577AB">
      <w:pPr>
        <w:jc w:val="center"/>
        <w:rPr>
          <w:b/>
          <w:szCs w:val="24"/>
        </w:rPr>
      </w:pPr>
    </w:p>
    <w:sectPr w:rsidR="00101059" w:rsidSect="001423A8">
      <w:headerReference w:type="default" r:id="rId32"/>
      <w:type w:val="continuous"/>
      <w:pgSz w:w="12240" w:h="15840" w:code="1"/>
      <w:pgMar w:top="1440" w:right="1440" w:bottom="1440"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13D766" w14:textId="77777777" w:rsidR="00084DA0" w:rsidRDefault="00084DA0" w:rsidP="00AE640C">
      <w:pPr>
        <w:spacing w:line="240" w:lineRule="auto"/>
      </w:pPr>
      <w:r>
        <w:separator/>
      </w:r>
    </w:p>
    <w:p w14:paraId="003B3E59" w14:textId="77777777" w:rsidR="00084DA0" w:rsidRDefault="00084DA0"/>
  </w:endnote>
  <w:endnote w:type="continuationSeparator" w:id="0">
    <w:p w14:paraId="7D8BB204" w14:textId="77777777" w:rsidR="00084DA0" w:rsidRDefault="00084DA0" w:rsidP="00AE640C">
      <w:pPr>
        <w:spacing w:line="240" w:lineRule="auto"/>
      </w:pPr>
      <w:r>
        <w:continuationSeparator/>
      </w:r>
    </w:p>
    <w:p w14:paraId="733948BF" w14:textId="77777777" w:rsidR="00084DA0" w:rsidRDefault="00084DA0"/>
  </w:endnote>
  <w:endnote w:type="continuationNotice" w:id="1">
    <w:p w14:paraId="21CCB44B" w14:textId="77777777" w:rsidR="00084DA0" w:rsidRDefault="00084DA0">
      <w:pPr>
        <w:spacing w:line="240" w:lineRule="auto"/>
      </w:pPr>
    </w:p>
    <w:p w14:paraId="452D6581" w14:textId="77777777" w:rsidR="00084DA0" w:rsidRDefault="00084DA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Montserrat">
    <w:charset w:val="00"/>
    <w:family w:val="auto"/>
    <w:pitch w:val="variable"/>
    <w:sig w:usb0="2000020F" w:usb1="00000003" w:usb2="00000000" w:usb3="00000000" w:csb0="00000197"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7EEA18" w14:textId="77777777" w:rsidR="00084DA0" w:rsidRDefault="00084DA0" w:rsidP="00274F14">
      <w:pPr>
        <w:spacing w:line="240" w:lineRule="auto"/>
        <w:ind w:firstLine="0"/>
      </w:pPr>
      <w:r>
        <w:separator/>
      </w:r>
    </w:p>
    <w:p w14:paraId="60E7644C" w14:textId="77777777" w:rsidR="00084DA0" w:rsidRDefault="00084DA0"/>
  </w:footnote>
  <w:footnote w:type="continuationSeparator" w:id="0">
    <w:p w14:paraId="149DE1E1" w14:textId="77777777" w:rsidR="00084DA0" w:rsidRDefault="00084DA0" w:rsidP="00AE640C">
      <w:pPr>
        <w:spacing w:line="240" w:lineRule="auto"/>
      </w:pPr>
      <w:r>
        <w:continuationSeparator/>
      </w:r>
    </w:p>
    <w:p w14:paraId="07EF3E66" w14:textId="77777777" w:rsidR="00084DA0" w:rsidRDefault="00084DA0"/>
  </w:footnote>
  <w:footnote w:type="continuationNotice" w:id="1">
    <w:p w14:paraId="36BF2AB2" w14:textId="77777777" w:rsidR="00084DA0" w:rsidRDefault="00084DA0">
      <w:pPr>
        <w:spacing w:line="240" w:lineRule="auto"/>
      </w:pPr>
    </w:p>
    <w:p w14:paraId="5ED5B8B1" w14:textId="77777777" w:rsidR="00084DA0" w:rsidRDefault="00084DA0"/>
  </w:footnote>
  <w:footnote w:id="2">
    <w:p w14:paraId="7FD41349" w14:textId="3F979926" w:rsidR="00994E45" w:rsidRPr="00994E45" w:rsidRDefault="00994E45" w:rsidP="00994E45">
      <w:pPr>
        <w:pStyle w:val="Textonotapie"/>
        <w:spacing w:line="240" w:lineRule="auto"/>
        <w:ind w:firstLine="0"/>
        <w:rPr>
          <w:sz w:val="24"/>
          <w:szCs w:val="24"/>
        </w:rPr>
      </w:pPr>
      <w:r w:rsidRPr="00994E45">
        <w:rPr>
          <w:rStyle w:val="Refdenotaalpie"/>
          <w:sz w:val="28"/>
          <w:szCs w:val="28"/>
        </w:rPr>
        <w:t>*</w:t>
      </w:r>
      <w:r w:rsidRPr="00994E45">
        <w:rPr>
          <w:sz w:val="28"/>
          <w:szCs w:val="28"/>
        </w:rPr>
        <w:t xml:space="preserve"> </w:t>
      </w:r>
      <w:r>
        <w:rPr>
          <w:sz w:val="24"/>
          <w:szCs w:val="24"/>
        </w:rPr>
        <w:t>Trabajo de grado</w:t>
      </w:r>
    </w:p>
  </w:footnote>
  <w:footnote w:id="3">
    <w:p w14:paraId="0DE762C5" w14:textId="35DB1F72" w:rsidR="00994E45" w:rsidRPr="00994E45" w:rsidRDefault="00994E45" w:rsidP="00994E45">
      <w:pPr>
        <w:pStyle w:val="Textonotapie"/>
        <w:spacing w:line="276" w:lineRule="auto"/>
        <w:ind w:firstLine="0"/>
        <w:rPr>
          <w:sz w:val="22"/>
          <w:szCs w:val="22"/>
          <w:lang w:val="es-MX"/>
        </w:rPr>
      </w:pPr>
    </w:p>
  </w:footnote>
  <w:footnote w:id="4">
    <w:p w14:paraId="00C4C8DB" w14:textId="77777777" w:rsidR="00994E45" w:rsidRPr="00994E45" w:rsidRDefault="00994E45" w:rsidP="00994E45">
      <w:pPr>
        <w:pStyle w:val="Textonotapie"/>
        <w:ind w:firstLine="0"/>
      </w:pPr>
    </w:p>
  </w:footnote>
  <w:footnote w:id="5">
    <w:p w14:paraId="185A3042" w14:textId="77777777" w:rsidR="00994E45" w:rsidRPr="00BF47EE" w:rsidRDefault="00994E45" w:rsidP="00994E45">
      <w:pPr>
        <w:pStyle w:val="Textonotapie"/>
        <w:spacing w:line="240" w:lineRule="auto"/>
        <w:ind w:firstLine="0"/>
        <w:rPr>
          <w:sz w:val="24"/>
          <w:szCs w:val="24"/>
          <w:lang w:val="en-US"/>
        </w:rPr>
      </w:pPr>
      <w:r w:rsidRPr="00026151">
        <w:rPr>
          <w:rStyle w:val="Refdenotaalpie"/>
          <w:sz w:val="28"/>
          <w:szCs w:val="28"/>
          <w:lang w:val="en-US"/>
        </w:rPr>
        <w:t>*</w:t>
      </w:r>
      <w:r w:rsidRPr="00026151">
        <w:rPr>
          <w:sz w:val="28"/>
          <w:szCs w:val="28"/>
          <w:lang w:val="en-US"/>
        </w:rPr>
        <w:t xml:space="preserve"> </w:t>
      </w:r>
      <w:r w:rsidRPr="00BF47EE">
        <w:rPr>
          <w:sz w:val="24"/>
          <w:szCs w:val="24"/>
          <w:lang w:val="en-US"/>
        </w:rPr>
        <w:t>Degree Work</w:t>
      </w:r>
    </w:p>
  </w:footnote>
  <w:footnote w:id="6">
    <w:p w14:paraId="56FA1E61" w14:textId="5C2F288B" w:rsidR="00994E45" w:rsidRPr="00994E45" w:rsidRDefault="00994E45" w:rsidP="00994E45">
      <w:pPr>
        <w:pStyle w:val="Textonotapie"/>
        <w:spacing w:line="240" w:lineRule="auto"/>
        <w:ind w:firstLine="0"/>
        <w:rPr>
          <w:sz w:val="24"/>
          <w:szCs w:val="24"/>
        </w:rPr>
      </w:pPr>
    </w:p>
  </w:footnote>
  <w:footnote w:id="7">
    <w:p w14:paraId="546C62BD" w14:textId="77777777" w:rsidR="00994E45" w:rsidRPr="00994E45" w:rsidRDefault="00994E45" w:rsidP="00994E45">
      <w:pPr>
        <w:pStyle w:val="Textonotapie"/>
        <w:ind w:firstLin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EA35CB" w14:textId="4E11CEEC" w:rsidR="00995172" w:rsidRDefault="00994E45" w:rsidP="00E1286C">
    <w:pPr>
      <w:pStyle w:val="Encabezado"/>
      <w:ind w:firstLine="0"/>
      <w:jc w:val="center"/>
    </w:pPr>
    <w:r>
      <w:t>DINÁMICAS DE OPERACIÓN MIPYMES AVENTURA SANTANDER</w:t>
    </w:r>
    <w:r w:rsidR="00E1286C">
      <w:tab/>
      <w:t xml:space="preserve">    </w:t>
    </w:r>
    <w:r w:rsidR="00776185">
      <w:fldChar w:fldCharType="begin"/>
    </w:r>
    <w:r w:rsidR="00776185">
      <w:instrText>PAGE   \* MERGEFORMAT</w:instrText>
    </w:r>
    <w:r w:rsidR="00776185">
      <w:fldChar w:fldCharType="separate"/>
    </w:r>
    <w:r w:rsidR="00C53746" w:rsidRPr="00C53746">
      <w:rPr>
        <w:noProof/>
        <w:lang w:val="es-ES"/>
      </w:rPr>
      <w:t>4</w:t>
    </w:r>
    <w:r w:rsidR="00776185">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15F6E56A"/>
    <w:lvl w:ilvl="0">
      <w:start w:val="1"/>
      <w:numFmt w:val="decimal"/>
      <w:pStyle w:val="Listaconnmeros"/>
      <w:lvlText w:val="%1."/>
      <w:lvlJc w:val="left"/>
      <w:pPr>
        <w:tabs>
          <w:tab w:val="num" w:pos="360"/>
        </w:tabs>
        <w:ind w:left="360" w:hanging="360"/>
      </w:pPr>
    </w:lvl>
  </w:abstractNum>
  <w:abstractNum w:abstractNumId="1" w15:restartNumberingAfterBreak="0">
    <w:nsid w:val="06A46A7F"/>
    <w:multiLevelType w:val="hybridMultilevel"/>
    <w:tmpl w:val="6DCED106"/>
    <w:lvl w:ilvl="0" w:tplc="F0966A5A">
      <w:start w:val="1"/>
      <w:numFmt w:val="decimal"/>
      <w:lvlText w:val="%1."/>
      <w:lvlJc w:val="left"/>
      <w:pPr>
        <w:ind w:left="1080" w:hanging="360"/>
      </w:pPr>
      <w:rPr>
        <w:rFonts w:hint="default"/>
      </w:rPr>
    </w:lvl>
    <w:lvl w:ilvl="1" w:tplc="6F7C7D90">
      <w:start w:val="1"/>
      <w:numFmt w:val="decimal"/>
      <w:lvlText w:val="(%2)"/>
      <w:lvlJc w:val="left"/>
      <w:pPr>
        <w:ind w:left="1848" w:hanging="408"/>
      </w:pPr>
      <w:rPr>
        <w:rFonts w:hint="default"/>
      </w:r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 w15:restartNumberingAfterBreak="0">
    <w:nsid w:val="07B37E4A"/>
    <w:multiLevelType w:val="multilevel"/>
    <w:tmpl w:val="51BAA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CDA26BA"/>
    <w:multiLevelType w:val="hybridMultilevel"/>
    <w:tmpl w:val="DF8A5B1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DE65E39"/>
    <w:multiLevelType w:val="hybridMultilevel"/>
    <w:tmpl w:val="264442C4"/>
    <w:lvl w:ilvl="0" w:tplc="E8941F02">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1F2303A"/>
    <w:multiLevelType w:val="hybridMultilevel"/>
    <w:tmpl w:val="D0140BEA"/>
    <w:lvl w:ilvl="0" w:tplc="598A8042">
      <w:numFmt w:val="bullet"/>
      <w:lvlText w:val="-"/>
      <w:lvlJc w:val="left"/>
      <w:pPr>
        <w:ind w:left="1776" w:hanging="360"/>
      </w:pPr>
      <w:rPr>
        <w:rFonts w:ascii="Times New Roman" w:eastAsia="Calibri" w:hAnsi="Times New Roman" w:cs="Times New Roman" w:hint="default"/>
      </w:rPr>
    </w:lvl>
    <w:lvl w:ilvl="1" w:tplc="240A0003" w:tentative="1">
      <w:start w:val="1"/>
      <w:numFmt w:val="bullet"/>
      <w:lvlText w:val="o"/>
      <w:lvlJc w:val="left"/>
      <w:pPr>
        <w:ind w:left="2496" w:hanging="360"/>
      </w:pPr>
      <w:rPr>
        <w:rFonts w:ascii="Courier New" w:hAnsi="Courier New" w:cs="Courier New" w:hint="default"/>
      </w:rPr>
    </w:lvl>
    <w:lvl w:ilvl="2" w:tplc="240A0005" w:tentative="1">
      <w:start w:val="1"/>
      <w:numFmt w:val="bullet"/>
      <w:lvlText w:val=""/>
      <w:lvlJc w:val="left"/>
      <w:pPr>
        <w:ind w:left="3216" w:hanging="360"/>
      </w:pPr>
      <w:rPr>
        <w:rFonts w:ascii="Wingdings" w:hAnsi="Wingdings" w:hint="default"/>
      </w:rPr>
    </w:lvl>
    <w:lvl w:ilvl="3" w:tplc="240A0001" w:tentative="1">
      <w:start w:val="1"/>
      <w:numFmt w:val="bullet"/>
      <w:lvlText w:val=""/>
      <w:lvlJc w:val="left"/>
      <w:pPr>
        <w:ind w:left="3936" w:hanging="360"/>
      </w:pPr>
      <w:rPr>
        <w:rFonts w:ascii="Symbol" w:hAnsi="Symbol" w:hint="default"/>
      </w:rPr>
    </w:lvl>
    <w:lvl w:ilvl="4" w:tplc="240A0003" w:tentative="1">
      <w:start w:val="1"/>
      <w:numFmt w:val="bullet"/>
      <w:lvlText w:val="o"/>
      <w:lvlJc w:val="left"/>
      <w:pPr>
        <w:ind w:left="4656" w:hanging="360"/>
      </w:pPr>
      <w:rPr>
        <w:rFonts w:ascii="Courier New" w:hAnsi="Courier New" w:cs="Courier New" w:hint="default"/>
      </w:rPr>
    </w:lvl>
    <w:lvl w:ilvl="5" w:tplc="240A0005" w:tentative="1">
      <w:start w:val="1"/>
      <w:numFmt w:val="bullet"/>
      <w:lvlText w:val=""/>
      <w:lvlJc w:val="left"/>
      <w:pPr>
        <w:ind w:left="5376" w:hanging="360"/>
      </w:pPr>
      <w:rPr>
        <w:rFonts w:ascii="Wingdings" w:hAnsi="Wingdings" w:hint="default"/>
      </w:rPr>
    </w:lvl>
    <w:lvl w:ilvl="6" w:tplc="240A0001" w:tentative="1">
      <w:start w:val="1"/>
      <w:numFmt w:val="bullet"/>
      <w:lvlText w:val=""/>
      <w:lvlJc w:val="left"/>
      <w:pPr>
        <w:ind w:left="6096" w:hanging="360"/>
      </w:pPr>
      <w:rPr>
        <w:rFonts w:ascii="Symbol" w:hAnsi="Symbol" w:hint="default"/>
      </w:rPr>
    </w:lvl>
    <w:lvl w:ilvl="7" w:tplc="240A0003" w:tentative="1">
      <w:start w:val="1"/>
      <w:numFmt w:val="bullet"/>
      <w:lvlText w:val="o"/>
      <w:lvlJc w:val="left"/>
      <w:pPr>
        <w:ind w:left="6816" w:hanging="360"/>
      </w:pPr>
      <w:rPr>
        <w:rFonts w:ascii="Courier New" w:hAnsi="Courier New" w:cs="Courier New" w:hint="default"/>
      </w:rPr>
    </w:lvl>
    <w:lvl w:ilvl="8" w:tplc="240A0005" w:tentative="1">
      <w:start w:val="1"/>
      <w:numFmt w:val="bullet"/>
      <w:lvlText w:val=""/>
      <w:lvlJc w:val="left"/>
      <w:pPr>
        <w:ind w:left="7536" w:hanging="360"/>
      </w:pPr>
      <w:rPr>
        <w:rFonts w:ascii="Wingdings" w:hAnsi="Wingdings" w:hint="default"/>
      </w:rPr>
    </w:lvl>
  </w:abstractNum>
  <w:abstractNum w:abstractNumId="6" w15:restartNumberingAfterBreak="0">
    <w:nsid w:val="12934C31"/>
    <w:multiLevelType w:val="multilevel"/>
    <w:tmpl w:val="B60EEA7A"/>
    <w:lvl w:ilvl="0">
      <w:start w:val="1"/>
      <w:numFmt w:val="decimal"/>
      <w:pStyle w:val="UNO"/>
      <w:lvlText w:val="%1."/>
      <w:lvlJc w:val="left"/>
      <w:pPr>
        <w:ind w:left="2140" w:hanging="360"/>
      </w:pPr>
      <w:rPr>
        <w:rFonts w:hint="default"/>
        <w:b/>
      </w:rPr>
    </w:lvl>
    <w:lvl w:ilvl="1">
      <w:start w:val="1"/>
      <w:numFmt w:val="decimal"/>
      <w:pStyle w:val="DOS"/>
      <w:isLgl/>
      <w:lvlText w:val="%1.%2."/>
      <w:lvlJc w:val="left"/>
      <w:pPr>
        <w:ind w:left="2185" w:hanging="405"/>
      </w:pPr>
      <w:rPr>
        <w:rFonts w:hint="default"/>
        <w:b/>
      </w:rPr>
    </w:lvl>
    <w:lvl w:ilvl="2">
      <w:start w:val="1"/>
      <w:numFmt w:val="decimal"/>
      <w:isLgl/>
      <w:lvlText w:val="%1.%2.%3."/>
      <w:lvlJc w:val="left"/>
      <w:pPr>
        <w:ind w:left="2500" w:hanging="720"/>
      </w:pPr>
      <w:rPr>
        <w:rFonts w:hint="default"/>
        <w:b/>
      </w:rPr>
    </w:lvl>
    <w:lvl w:ilvl="3">
      <w:start w:val="1"/>
      <w:numFmt w:val="decimal"/>
      <w:isLgl/>
      <w:lvlText w:val="%1.%2.%3.%4."/>
      <w:lvlJc w:val="left"/>
      <w:pPr>
        <w:ind w:left="2500" w:hanging="720"/>
      </w:pPr>
      <w:rPr>
        <w:rFonts w:hint="default"/>
        <w:b/>
      </w:rPr>
    </w:lvl>
    <w:lvl w:ilvl="4">
      <w:start w:val="1"/>
      <w:numFmt w:val="decimal"/>
      <w:isLgl/>
      <w:lvlText w:val="%1.%2.%3.%4.%5."/>
      <w:lvlJc w:val="left"/>
      <w:pPr>
        <w:ind w:left="2860" w:hanging="1080"/>
      </w:pPr>
      <w:rPr>
        <w:rFonts w:hint="default"/>
        <w:b/>
      </w:rPr>
    </w:lvl>
    <w:lvl w:ilvl="5">
      <w:start w:val="1"/>
      <w:numFmt w:val="decimal"/>
      <w:isLgl/>
      <w:lvlText w:val="%1.%2.%3.%4.%5.%6."/>
      <w:lvlJc w:val="left"/>
      <w:pPr>
        <w:ind w:left="2860" w:hanging="1080"/>
      </w:pPr>
      <w:rPr>
        <w:rFonts w:hint="default"/>
        <w:b/>
      </w:rPr>
    </w:lvl>
    <w:lvl w:ilvl="6">
      <w:start w:val="1"/>
      <w:numFmt w:val="decimal"/>
      <w:isLgl/>
      <w:lvlText w:val="%1.%2.%3.%4.%5.%6.%7."/>
      <w:lvlJc w:val="left"/>
      <w:pPr>
        <w:ind w:left="3220" w:hanging="1440"/>
      </w:pPr>
      <w:rPr>
        <w:rFonts w:hint="default"/>
        <w:b/>
      </w:rPr>
    </w:lvl>
    <w:lvl w:ilvl="7">
      <w:start w:val="1"/>
      <w:numFmt w:val="decimal"/>
      <w:isLgl/>
      <w:lvlText w:val="%1.%2.%3.%4.%5.%6.%7.%8."/>
      <w:lvlJc w:val="left"/>
      <w:pPr>
        <w:ind w:left="3220" w:hanging="1440"/>
      </w:pPr>
      <w:rPr>
        <w:rFonts w:hint="default"/>
        <w:b/>
      </w:rPr>
    </w:lvl>
    <w:lvl w:ilvl="8">
      <w:start w:val="1"/>
      <w:numFmt w:val="decimal"/>
      <w:isLgl/>
      <w:lvlText w:val="%1.%2.%3.%4.%5.%6.%7.%8.%9."/>
      <w:lvlJc w:val="left"/>
      <w:pPr>
        <w:ind w:left="3580" w:hanging="1800"/>
      </w:pPr>
      <w:rPr>
        <w:rFonts w:hint="default"/>
        <w:b/>
      </w:rPr>
    </w:lvl>
  </w:abstractNum>
  <w:abstractNum w:abstractNumId="7" w15:restartNumberingAfterBreak="0">
    <w:nsid w:val="13457C1B"/>
    <w:multiLevelType w:val="hybridMultilevel"/>
    <w:tmpl w:val="F8E63B04"/>
    <w:lvl w:ilvl="0" w:tplc="F1D8B2E2">
      <w:start w:val="1"/>
      <w:numFmt w:val="decimal"/>
      <w:lvlText w:val="(%1)"/>
      <w:lvlJc w:val="left"/>
      <w:pPr>
        <w:ind w:left="1248" w:hanging="468"/>
      </w:pPr>
      <w:rPr>
        <w:rFonts w:hint="default"/>
      </w:rPr>
    </w:lvl>
    <w:lvl w:ilvl="1" w:tplc="240A0019" w:tentative="1">
      <w:start w:val="1"/>
      <w:numFmt w:val="lowerLetter"/>
      <w:lvlText w:val="%2."/>
      <w:lvlJc w:val="left"/>
      <w:pPr>
        <w:ind w:left="1860" w:hanging="360"/>
      </w:pPr>
    </w:lvl>
    <w:lvl w:ilvl="2" w:tplc="240A001B" w:tentative="1">
      <w:start w:val="1"/>
      <w:numFmt w:val="lowerRoman"/>
      <w:lvlText w:val="%3."/>
      <w:lvlJc w:val="right"/>
      <w:pPr>
        <w:ind w:left="2580" w:hanging="180"/>
      </w:pPr>
    </w:lvl>
    <w:lvl w:ilvl="3" w:tplc="240A000F" w:tentative="1">
      <w:start w:val="1"/>
      <w:numFmt w:val="decimal"/>
      <w:lvlText w:val="%4."/>
      <w:lvlJc w:val="left"/>
      <w:pPr>
        <w:ind w:left="3300" w:hanging="360"/>
      </w:pPr>
    </w:lvl>
    <w:lvl w:ilvl="4" w:tplc="240A0019" w:tentative="1">
      <w:start w:val="1"/>
      <w:numFmt w:val="lowerLetter"/>
      <w:lvlText w:val="%5."/>
      <w:lvlJc w:val="left"/>
      <w:pPr>
        <w:ind w:left="4020" w:hanging="360"/>
      </w:pPr>
    </w:lvl>
    <w:lvl w:ilvl="5" w:tplc="240A001B" w:tentative="1">
      <w:start w:val="1"/>
      <w:numFmt w:val="lowerRoman"/>
      <w:lvlText w:val="%6."/>
      <w:lvlJc w:val="right"/>
      <w:pPr>
        <w:ind w:left="4740" w:hanging="180"/>
      </w:pPr>
    </w:lvl>
    <w:lvl w:ilvl="6" w:tplc="240A000F" w:tentative="1">
      <w:start w:val="1"/>
      <w:numFmt w:val="decimal"/>
      <w:lvlText w:val="%7."/>
      <w:lvlJc w:val="left"/>
      <w:pPr>
        <w:ind w:left="5460" w:hanging="360"/>
      </w:pPr>
    </w:lvl>
    <w:lvl w:ilvl="7" w:tplc="240A0019" w:tentative="1">
      <w:start w:val="1"/>
      <w:numFmt w:val="lowerLetter"/>
      <w:lvlText w:val="%8."/>
      <w:lvlJc w:val="left"/>
      <w:pPr>
        <w:ind w:left="6180" w:hanging="360"/>
      </w:pPr>
    </w:lvl>
    <w:lvl w:ilvl="8" w:tplc="240A001B" w:tentative="1">
      <w:start w:val="1"/>
      <w:numFmt w:val="lowerRoman"/>
      <w:lvlText w:val="%9."/>
      <w:lvlJc w:val="right"/>
      <w:pPr>
        <w:ind w:left="6900" w:hanging="180"/>
      </w:pPr>
    </w:lvl>
  </w:abstractNum>
  <w:abstractNum w:abstractNumId="8" w15:restartNumberingAfterBreak="0">
    <w:nsid w:val="1AE61D1C"/>
    <w:multiLevelType w:val="multilevel"/>
    <w:tmpl w:val="E0907ADE"/>
    <w:styleLink w:val="APApuntuad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1B5B39F7"/>
    <w:multiLevelType w:val="hybridMultilevel"/>
    <w:tmpl w:val="FCBA1BDC"/>
    <w:lvl w:ilvl="0" w:tplc="32C4FE12">
      <w:start w:val="1"/>
      <w:numFmt w:val="decimal"/>
      <w:lvlText w:val="%1."/>
      <w:lvlJc w:val="left"/>
      <w:pPr>
        <w:ind w:left="1440" w:hanging="360"/>
      </w:pPr>
      <w:rPr>
        <w:rFonts w:hint="default"/>
        <w:b/>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10" w15:restartNumberingAfterBreak="0">
    <w:nsid w:val="1D1277AE"/>
    <w:multiLevelType w:val="multilevel"/>
    <w:tmpl w:val="473A0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F065490"/>
    <w:multiLevelType w:val="multilevel"/>
    <w:tmpl w:val="DA429D3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12" w15:restartNumberingAfterBreak="0">
    <w:nsid w:val="1FC16C94"/>
    <w:multiLevelType w:val="hybridMultilevel"/>
    <w:tmpl w:val="DD06BE66"/>
    <w:lvl w:ilvl="0" w:tplc="D8B2D212">
      <w:start w:val="1"/>
      <w:numFmt w:val="decimal"/>
      <w:pStyle w:val="Prrafodelista"/>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20DA0B6F"/>
    <w:multiLevelType w:val="hybridMultilevel"/>
    <w:tmpl w:val="C05E47CE"/>
    <w:lvl w:ilvl="0" w:tplc="F0966A5A">
      <w:start w:val="1"/>
      <w:numFmt w:val="decimal"/>
      <w:lvlText w:val="%1."/>
      <w:lvlJc w:val="left"/>
      <w:pPr>
        <w:ind w:left="1800" w:hanging="360"/>
      </w:pPr>
      <w:rPr>
        <w:rFonts w:hint="default"/>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14" w15:restartNumberingAfterBreak="0">
    <w:nsid w:val="21225F6B"/>
    <w:multiLevelType w:val="hybridMultilevel"/>
    <w:tmpl w:val="A872B30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5" w15:restartNumberingAfterBreak="0">
    <w:nsid w:val="21B43998"/>
    <w:multiLevelType w:val="hybridMultilevel"/>
    <w:tmpl w:val="594E89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2342571B"/>
    <w:multiLevelType w:val="multilevel"/>
    <w:tmpl w:val="C6A681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5711FD7"/>
    <w:multiLevelType w:val="multilevel"/>
    <w:tmpl w:val="282EF7FA"/>
    <w:styleLink w:val="Estilo3"/>
    <w:lvl w:ilvl="0">
      <w:start w:val="1"/>
      <w:numFmt w:val="decimal"/>
      <w:lvlText w:val="%1."/>
      <w:lvlJc w:val="left"/>
      <w:pPr>
        <w:ind w:left="36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646"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7041044"/>
    <w:multiLevelType w:val="hybridMultilevel"/>
    <w:tmpl w:val="6B808DE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9" w15:restartNumberingAfterBreak="0">
    <w:nsid w:val="2C2A0661"/>
    <w:multiLevelType w:val="multilevel"/>
    <w:tmpl w:val="BD749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D8178B2"/>
    <w:multiLevelType w:val="hybridMultilevel"/>
    <w:tmpl w:val="4C9EAA9C"/>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1" w15:restartNumberingAfterBreak="0">
    <w:nsid w:val="2E054389"/>
    <w:multiLevelType w:val="hybridMultilevel"/>
    <w:tmpl w:val="35D474C8"/>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2" w15:restartNumberingAfterBreak="0">
    <w:nsid w:val="2EB45D7B"/>
    <w:multiLevelType w:val="hybridMultilevel"/>
    <w:tmpl w:val="18749EE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3" w15:restartNumberingAfterBreak="0">
    <w:nsid w:val="2EE41F4E"/>
    <w:multiLevelType w:val="hybridMultilevel"/>
    <w:tmpl w:val="42B4430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4" w15:restartNumberingAfterBreak="0">
    <w:nsid w:val="2EFF2905"/>
    <w:multiLevelType w:val="hybridMultilevel"/>
    <w:tmpl w:val="C17AF8B0"/>
    <w:lvl w:ilvl="0" w:tplc="32C4FE12">
      <w:start w:val="1"/>
      <w:numFmt w:val="decimal"/>
      <w:lvlText w:val="%1."/>
      <w:lvlJc w:val="left"/>
      <w:pPr>
        <w:ind w:left="1440" w:hanging="360"/>
      </w:pPr>
      <w:rPr>
        <w:rFonts w:hint="default"/>
        <w:b/>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25" w15:restartNumberingAfterBreak="0">
    <w:nsid w:val="326F101A"/>
    <w:multiLevelType w:val="hybridMultilevel"/>
    <w:tmpl w:val="3E8040CE"/>
    <w:lvl w:ilvl="0" w:tplc="240A0001">
      <w:start w:val="1"/>
      <w:numFmt w:val="bullet"/>
      <w:lvlText w:val=""/>
      <w:lvlJc w:val="left"/>
      <w:pPr>
        <w:ind w:left="1440" w:hanging="360"/>
      </w:pPr>
      <w:rPr>
        <w:rFonts w:ascii="Symbol" w:hAnsi="Symbol" w:hint="default"/>
      </w:rPr>
    </w:lvl>
    <w:lvl w:ilvl="1" w:tplc="9616578A">
      <w:start w:val="3"/>
      <w:numFmt w:val="bullet"/>
      <w:lvlText w:val="•"/>
      <w:lvlJc w:val="left"/>
      <w:pPr>
        <w:ind w:left="2496" w:hanging="696"/>
      </w:pPr>
      <w:rPr>
        <w:rFonts w:ascii="Times New Roman" w:eastAsia="Calibri" w:hAnsi="Times New Roman" w:cs="Times New Roman"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6" w15:restartNumberingAfterBreak="0">
    <w:nsid w:val="35900395"/>
    <w:multiLevelType w:val="hybridMultilevel"/>
    <w:tmpl w:val="5464141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7" w15:restartNumberingAfterBreak="0">
    <w:nsid w:val="39BC2578"/>
    <w:multiLevelType w:val="hybridMultilevel"/>
    <w:tmpl w:val="32622478"/>
    <w:lvl w:ilvl="0" w:tplc="F1D8B2E2">
      <w:start w:val="1"/>
      <w:numFmt w:val="decimal"/>
      <w:lvlText w:val="(%1)"/>
      <w:lvlJc w:val="left"/>
      <w:pPr>
        <w:ind w:left="2028" w:hanging="468"/>
      </w:pPr>
      <w:rPr>
        <w:rFonts w:hint="default"/>
      </w:rPr>
    </w:lvl>
    <w:lvl w:ilvl="1" w:tplc="240A0019" w:tentative="1">
      <w:start w:val="1"/>
      <w:numFmt w:val="lowerLetter"/>
      <w:lvlText w:val="%2."/>
      <w:lvlJc w:val="left"/>
      <w:pPr>
        <w:ind w:left="2220" w:hanging="360"/>
      </w:pPr>
    </w:lvl>
    <w:lvl w:ilvl="2" w:tplc="240A001B" w:tentative="1">
      <w:start w:val="1"/>
      <w:numFmt w:val="lowerRoman"/>
      <w:lvlText w:val="%3."/>
      <w:lvlJc w:val="right"/>
      <w:pPr>
        <w:ind w:left="2940" w:hanging="180"/>
      </w:pPr>
    </w:lvl>
    <w:lvl w:ilvl="3" w:tplc="240A000F" w:tentative="1">
      <w:start w:val="1"/>
      <w:numFmt w:val="decimal"/>
      <w:lvlText w:val="%4."/>
      <w:lvlJc w:val="left"/>
      <w:pPr>
        <w:ind w:left="3660" w:hanging="360"/>
      </w:pPr>
    </w:lvl>
    <w:lvl w:ilvl="4" w:tplc="240A0019" w:tentative="1">
      <w:start w:val="1"/>
      <w:numFmt w:val="lowerLetter"/>
      <w:lvlText w:val="%5."/>
      <w:lvlJc w:val="left"/>
      <w:pPr>
        <w:ind w:left="4380" w:hanging="360"/>
      </w:pPr>
    </w:lvl>
    <w:lvl w:ilvl="5" w:tplc="240A001B" w:tentative="1">
      <w:start w:val="1"/>
      <w:numFmt w:val="lowerRoman"/>
      <w:lvlText w:val="%6."/>
      <w:lvlJc w:val="right"/>
      <w:pPr>
        <w:ind w:left="5100" w:hanging="180"/>
      </w:pPr>
    </w:lvl>
    <w:lvl w:ilvl="6" w:tplc="240A000F" w:tentative="1">
      <w:start w:val="1"/>
      <w:numFmt w:val="decimal"/>
      <w:lvlText w:val="%7."/>
      <w:lvlJc w:val="left"/>
      <w:pPr>
        <w:ind w:left="5820" w:hanging="360"/>
      </w:pPr>
    </w:lvl>
    <w:lvl w:ilvl="7" w:tplc="240A0019" w:tentative="1">
      <w:start w:val="1"/>
      <w:numFmt w:val="lowerLetter"/>
      <w:lvlText w:val="%8."/>
      <w:lvlJc w:val="left"/>
      <w:pPr>
        <w:ind w:left="6540" w:hanging="360"/>
      </w:pPr>
    </w:lvl>
    <w:lvl w:ilvl="8" w:tplc="240A001B" w:tentative="1">
      <w:start w:val="1"/>
      <w:numFmt w:val="lowerRoman"/>
      <w:lvlText w:val="%9."/>
      <w:lvlJc w:val="right"/>
      <w:pPr>
        <w:ind w:left="7260" w:hanging="180"/>
      </w:pPr>
    </w:lvl>
  </w:abstractNum>
  <w:abstractNum w:abstractNumId="28" w15:restartNumberingAfterBreak="0">
    <w:nsid w:val="3B2258BA"/>
    <w:multiLevelType w:val="hybridMultilevel"/>
    <w:tmpl w:val="34808EA4"/>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9" w15:restartNumberingAfterBreak="0">
    <w:nsid w:val="3E36641D"/>
    <w:multiLevelType w:val="hybridMultilevel"/>
    <w:tmpl w:val="D2F835A4"/>
    <w:lvl w:ilvl="0" w:tplc="240A0001">
      <w:start w:val="1"/>
      <w:numFmt w:val="bullet"/>
      <w:lvlText w:val=""/>
      <w:lvlJc w:val="left"/>
      <w:pPr>
        <w:ind w:left="1500" w:hanging="360"/>
      </w:pPr>
      <w:rPr>
        <w:rFonts w:ascii="Symbol" w:hAnsi="Symbol" w:hint="default"/>
      </w:rPr>
    </w:lvl>
    <w:lvl w:ilvl="1" w:tplc="240A0003" w:tentative="1">
      <w:start w:val="1"/>
      <w:numFmt w:val="bullet"/>
      <w:lvlText w:val="o"/>
      <w:lvlJc w:val="left"/>
      <w:pPr>
        <w:ind w:left="2220" w:hanging="360"/>
      </w:pPr>
      <w:rPr>
        <w:rFonts w:ascii="Courier New" w:hAnsi="Courier New" w:cs="Courier New" w:hint="default"/>
      </w:rPr>
    </w:lvl>
    <w:lvl w:ilvl="2" w:tplc="240A0005" w:tentative="1">
      <w:start w:val="1"/>
      <w:numFmt w:val="bullet"/>
      <w:lvlText w:val=""/>
      <w:lvlJc w:val="left"/>
      <w:pPr>
        <w:ind w:left="2940" w:hanging="360"/>
      </w:pPr>
      <w:rPr>
        <w:rFonts w:ascii="Wingdings" w:hAnsi="Wingdings" w:hint="default"/>
      </w:rPr>
    </w:lvl>
    <w:lvl w:ilvl="3" w:tplc="240A0001" w:tentative="1">
      <w:start w:val="1"/>
      <w:numFmt w:val="bullet"/>
      <w:lvlText w:val=""/>
      <w:lvlJc w:val="left"/>
      <w:pPr>
        <w:ind w:left="3660" w:hanging="360"/>
      </w:pPr>
      <w:rPr>
        <w:rFonts w:ascii="Symbol" w:hAnsi="Symbol" w:hint="default"/>
      </w:rPr>
    </w:lvl>
    <w:lvl w:ilvl="4" w:tplc="240A0003" w:tentative="1">
      <w:start w:val="1"/>
      <w:numFmt w:val="bullet"/>
      <w:lvlText w:val="o"/>
      <w:lvlJc w:val="left"/>
      <w:pPr>
        <w:ind w:left="4380" w:hanging="360"/>
      </w:pPr>
      <w:rPr>
        <w:rFonts w:ascii="Courier New" w:hAnsi="Courier New" w:cs="Courier New" w:hint="default"/>
      </w:rPr>
    </w:lvl>
    <w:lvl w:ilvl="5" w:tplc="240A0005" w:tentative="1">
      <w:start w:val="1"/>
      <w:numFmt w:val="bullet"/>
      <w:lvlText w:val=""/>
      <w:lvlJc w:val="left"/>
      <w:pPr>
        <w:ind w:left="5100" w:hanging="360"/>
      </w:pPr>
      <w:rPr>
        <w:rFonts w:ascii="Wingdings" w:hAnsi="Wingdings" w:hint="default"/>
      </w:rPr>
    </w:lvl>
    <w:lvl w:ilvl="6" w:tplc="240A0001" w:tentative="1">
      <w:start w:val="1"/>
      <w:numFmt w:val="bullet"/>
      <w:lvlText w:val=""/>
      <w:lvlJc w:val="left"/>
      <w:pPr>
        <w:ind w:left="5820" w:hanging="360"/>
      </w:pPr>
      <w:rPr>
        <w:rFonts w:ascii="Symbol" w:hAnsi="Symbol" w:hint="default"/>
      </w:rPr>
    </w:lvl>
    <w:lvl w:ilvl="7" w:tplc="240A0003" w:tentative="1">
      <w:start w:val="1"/>
      <w:numFmt w:val="bullet"/>
      <w:lvlText w:val="o"/>
      <w:lvlJc w:val="left"/>
      <w:pPr>
        <w:ind w:left="6540" w:hanging="360"/>
      </w:pPr>
      <w:rPr>
        <w:rFonts w:ascii="Courier New" w:hAnsi="Courier New" w:cs="Courier New" w:hint="default"/>
      </w:rPr>
    </w:lvl>
    <w:lvl w:ilvl="8" w:tplc="240A0005" w:tentative="1">
      <w:start w:val="1"/>
      <w:numFmt w:val="bullet"/>
      <w:lvlText w:val=""/>
      <w:lvlJc w:val="left"/>
      <w:pPr>
        <w:ind w:left="7260" w:hanging="360"/>
      </w:pPr>
      <w:rPr>
        <w:rFonts w:ascii="Wingdings" w:hAnsi="Wingdings" w:hint="default"/>
      </w:rPr>
    </w:lvl>
  </w:abstractNum>
  <w:abstractNum w:abstractNumId="30" w15:restartNumberingAfterBreak="0">
    <w:nsid w:val="3E7E2E85"/>
    <w:multiLevelType w:val="multilevel"/>
    <w:tmpl w:val="87D445B0"/>
    <w:lvl w:ilvl="0">
      <w:start w:val="1"/>
      <w:numFmt w:val="decimal"/>
      <w:pStyle w:val="Ttulo1"/>
      <w:suff w:val="space"/>
      <w:lvlText w:val="%1."/>
      <w:lvlJc w:val="left"/>
      <w:pPr>
        <w:ind w:left="432" w:hanging="432"/>
      </w:pPr>
      <w:rPr>
        <w:rFonts w:hint="default"/>
      </w:rPr>
    </w:lvl>
    <w:lvl w:ilvl="1">
      <w:start w:val="1"/>
      <w:numFmt w:val="decimal"/>
      <w:pStyle w:val="Ttulo2"/>
      <w:suff w:val="space"/>
      <w:lvlText w:val="%1.%2."/>
      <w:lvlJc w:val="left"/>
      <w:pPr>
        <w:ind w:left="576" w:hanging="576"/>
      </w:pPr>
      <w:rPr>
        <w:rFonts w:hint="default"/>
      </w:rPr>
    </w:lvl>
    <w:lvl w:ilvl="2">
      <w:start w:val="1"/>
      <w:numFmt w:val="decimal"/>
      <w:pStyle w:val="Ttulo3"/>
      <w:lvlText w:val="%1.%2.%3."/>
      <w:lvlJc w:val="left"/>
      <w:pPr>
        <w:ind w:left="0" w:firstLine="0"/>
      </w:pPr>
      <w:rPr>
        <w:rFonts w:hint="default"/>
      </w:rPr>
    </w:lvl>
    <w:lvl w:ilvl="3">
      <w:start w:val="1"/>
      <w:numFmt w:val="decimal"/>
      <w:pStyle w:val="Ttulo4"/>
      <w:suff w:val="space"/>
      <w:lvlText w:val="%1.%2.%3.%4."/>
      <w:lvlJc w:val="left"/>
      <w:pPr>
        <w:ind w:left="142" w:firstLine="0"/>
      </w:pPr>
      <w:rPr>
        <w:rFonts w:ascii="Times New Roman" w:hAnsi="Times New Roman" w:cs="Times New Roman" w:hint="default"/>
        <w:b/>
        <w:bCs/>
        <w:color w:val="auto"/>
        <w:sz w:val="24"/>
        <w:szCs w:val="24"/>
      </w:rPr>
    </w:lvl>
    <w:lvl w:ilvl="4">
      <w:start w:val="1"/>
      <w:numFmt w:val="decimal"/>
      <w:pStyle w:val="Ttulo5"/>
      <w:lvlText w:val="%1.%2.%3.%4.%5"/>
      <w:lvlJc w:val="left"/>
      <w:pPr>
        <w:ind w:left="1008" w:hanging="1008"/>
      </w:pPr>
      <w:rPr>
        <w:rFonts w:hint="default"/>
        <w:b/>
        <w:bCs/>
        <w:i/>
        <w:iCs w:val="0"/>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3FDC0AA5"/>
    <w:multiLevelType w:val="hybridMultilevel"/>
    <w:tmpl w:val="FE06BB4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15:restartNumberingAfterBreak="0">
    <w:nsid w:val="41551E08"/>
    <w:multiLevelType w:val="hybridMultilevel"/>
    <w:tmpl w:val="C09A8C14"/>
    <w:lvl w:ilvl="0" w:tplc="F0966A5A">
      <w:start w:val="1"/>
      <w:numFmt w:val="decimal"/>
      <w:lvlText w:val="%1."/>
      <w:lvlJc w:val="left"/>
      <w:pPr>
        <w:ind w:left="2520" w:hanging="360"/>
      </w:pPr>
      <w:rPr>
        <w:rFonts w:hint="default"/>
      </w:rPr>
    </w:lvl>
    <w:lvl w:ilvl="1" w:tplc="240A0019" w:tentative="1">
      <w:start w:val="1"/>
      <w:numFmt w:val="lowerLetter"/>
      <w:lvlText w:val="%2."/>
      <w:lvlJc w:val="left"/>
      <w:pPr>
        <w:ind w:left="2880" w:hanging="360"/>
      </w:pPr>
    </w:lvl>
    <w:lvl w:ilvl="2" w:tplc="240A001B" w:tentative="1">
      <w:start w:val="1"/>
      <w:numFmt w:val="lowerRoman"/>
      <w:lvlText w:val="%3."/>
      <w:lvlJc w:val="right"/>
      <w:pPr>
        <w:ind w:left="3600" w:hanging="180"/>
      </w:pPr>
    </w:lvl>
    <w:lvl w:ilvl="3" w:tplc="240A000F" w:tentative="1">
      <w:start w:val="1"/>
      <w:numFmt w:val="decimal"/>
      <w:lvlText w:val="%4."/>
      <w:lvlJc w:val="left"/>
      <w:pPr>
        <w:ind w:left="4320" w:hanging="360"/>
      </w:pPr>
    </w:lvl>
    <w:lvl w:ilvl="4" w:tplc="240A0019" w:tentative="1">
      <w:start w:val="1"/>
      <w:numFmt w:val="lowerLetter"/>
      <w:lvlText w:val="%5."/>
      <w:lvlJc w:val="left"/>
      <w:pPr>
        <w:ind w:left="5040" w:hanging="360"/>
      </w:pPr>
    </w:lvl>
    <w:lvl w:ilvl="5" w:tplc="240A001B" w:tentative="1">
      <w:start w:val="1"/>
      <w:numFmt w:val="lowerRoman"/>
      <w:lvlText w:val="%6."/>
      <w:lvlJc w:val="right"/>
      <w:pPr>
        <w:ind w:left="5760" w:hanging="180"/>
      </w:pPr>
    </w:lvl>
    <w:lvl w:ilvl="6" w:tplc="240A000F" w:tentative="1">
      <w:start w:val="1"/>
      <w:numFmt w:val="decimal"/>
      <w:lvlText w:val="%7."/>
      <w:lvlJc w:val="left"/>
      <w:pPr>
        <w:ind w:left="6480" w:hanging="360"/>
      </w:pPr>
    </w:lvl>
    <w:lvl w:ilvl="7" w:tplc="240A0019" w:tentative="1">
      <w:start w:val="1"/>
      <w:numFmt w:val="lowerLetter"/>
      <w:lvlText w:val="%8."/>
      <w:lvlJc w:val="left"/>
      <w:pPr>
        <w:ind w:left="7200" w:hanging="360"/>
      </w:pPr>
    </w:lvl>
    <w:lvl w:ilvl="8" w:tplc="240A001B" w:tentative="1">
      <w:start w:val="1"/>
      <w:numFmt w:val="lowerRoman"/>
      <w:lvlText w:val="%9."/>
      <w:lvlJc w:val="right"/>
      <w:pPr>
        <w:ind w:left="7920" w:hanging="180"/>
      </w:pPr>
    </w:lvl>
  </w:abstractNum>
  <w:abstractNum w:abstractNumId="33" w15:restartNumberingAfterBreak="0">
    <w:nsid w:val="44CA3BCE"/>
    <w:multiLevelType w:val="multilevel"/>
    <w:tmpl w:val="C4A6B226"/>
    <w:styleLink w:val="Estilo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591A750D"/>
    <w:multiLevelType w:val="hybridMultilevel"/>
    <w:tmpl w:val="9104B9EE"/>
    <w:lvl w:ilvl="0" w:tplc="240A000F">
      <w:start w:val="1"/>
      <w:numFmt w:val="decimal"/>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35" w15:restartNumberingAfterBreak="0">
    <w:nsid w:val="5A7A3A36"/>
    <w:multiLevelType w:val="multilevel"/>
    <w:tmpl w:val="BBF66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F201B94"/>
    <w:multiLevelType w:val="multilevel"/>
    <w:tmpl w:val="885CA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155366D"/>
    <w:multiLevelType w:val="hybridMultilevel"/>
    <w:tmpl w:val="3EFE01B2"/>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8" w15:restartNumberingAfterBreak="0">
    <w:nsid w:val="61FB3309"/>
    <w:multiLevelType w:val="hybridMultilevel"/>
    <w:tmpl w:val="5142E53C"/>
    <w:lvl w:ilvl="0" w:tplc="32C4FE12">
      <w:start w:val="1"/>
      <w:numFmt w:val="decimal"/>
      <w:lvlText w:val="%1."/>
      <w:lvlJc w:val="left"/>
      <w:pPr>
        <w:ind w:left="1440" w:hanging="360"/>
      </w:pPr>
      <w:rPr>
        <w:rFonts w:hint="default"/>
        <w:b/>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39" w15:restartNumberingAfterBreak="0">
    <w:nsid w:val="6387756E"/>
    <w:multiLevelType w:val="multilevel"/>
    <w:tmpl w:val="889EA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90A5FF9"/>
    <w:multiLevelType w:val="hybridMultilevel"/>
    <w:tmpl w:val="3D5A3198"/>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1" w15:restartNumberingAfterBreak="0">
    <w:nsid w:val="6BC9444F"/>
    <w:multiLevelType w:val="hybridMultilevel"/>
    <w:tmpl w:val="8EE091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6DDD74C5"/>
    <w:multiLevelType w:val="hybridMultilevel"/>
    <w:tmpl w:val="D24AEFC6"/>
    <w:lvl w:ilvl="0" w:tplc="1C926758">
      <w:start w:val="1"/>
      <w:numFmt w:val="bullet"/>
      <w:pStyle w:val="Nuevalista"/>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6FE72D99"/>
    <w:multiLevelType w:val="multilevel"/>
    <w:tmpl w:val="A19EDA28"/>
    <w:styleLink w:val="Estilo1"/>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15:restartNumberingAfterBreak="0">
    <w:nsid w:val="7002507B"/>
    <w:multiLevelType w:val="hybridMultilevel"/>
    <w:tmpl w:val="7C1CC54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15:restartNumberingAfterBreak="0">
    <w:nsid w:val="74BB68F8"/>
    <w:multiLevelType w:val="multilevel"/>
    <w:tmpl w:val="A3C43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43"/>
  </w:num>
  <w:num w:numId="3">
    <w:abstractNumId w:val="33"/>
  </w:num>
  <w:num w:numId="4">
    <w:abstractNumId w:val="17"/>
  </w:num>
  <w:num w:numId="5">
    <w:abstractNumId w:val="6"/>
  </w:num>
  <w:num w:numId="6">
    <w:abstractNumId w:val="11"/>
  </w:num>
  <w:num w:numId="7">
    <w:abstractNumId w:val="8"/>
  </w:num>
  <w:num w:numId="8">
    <w:abstractNumId w:val="30"/>
  </w:num>
  <w:num w:numId="9">
    <w:abstractNumId w:val="12"/>
  </w:num>
  <w:num w:numId="10">
    <w:abstractNumId w:val="42"/>
  </w:num>
  <w:num w:numId="11">
    <w:abstractNumId w:val="14"/>
  </w:num>
  <w:num w:numId="12">
    <w:abstractNumId w:val="21"/>
  </w:num>
  <w:num w:numId="13">
    <w:abstractNumId w:val="20"/>
  </w:num>
  <w:num w:numId="14">
    <w:abstractNumId w:val="40"/>
  </w:num>
  <w:num w:numId="15">
    <w:abstractNumId w:val="29"/>
  </w:num>
  <w:num w:numId="16">
    <w:abstractNumId w:val="24"/>
  </w:num>
  <w:num w:numId="17">
    <w:abstractNumId w:val="22"/>
  </w:num>
  <w:num w:numId="18">
    <w:abstractNumId w:val="9"/>
  </w:num>
  <w:num w:numId="19">
    <w:abstractNumId w:val="38"/>
  </w:num>
  <w:num w:numId="20">
    <w:abstractNumId w:val="4"/>
  </w:num>
  <w:num w:numId="21">
    <w:abstractNumId w:val="25"/>
  </w:num>
  <w:num w:numId="22">
    <w:abstractNumId w:val="31"/>
  </w:num>
  <w:num w:numId="23">
    <w:abstractNumId w:val="15"/>
  </w:num>
  <w:num w:numId="24">
    <w:abstractNumId w:val="23"/>
  </w:num>
  <w:num w:numId="25">
    <w:abstractNumId w:val="34"/>
  </w:num>
  <w:num w:numId="26">
    <w:abstractNumId w:val="7"/>
  </w:num>
  <w:num w:numId="27">
    <w:abstractNumId w:val="27"/>
  </w:num>
  <w:num w:numId="28">
    <w:abstractNumId w:val="26"/>
  </w:num>
  <w:num w:numId="29">
    <w:abstractNumId w:val="44"/>
  </w:num>
  <w:num w:numId="30">
    <w:abstractNumId w:val="3"/>
  </w:num>
  <w:num w:numId="31">
    <w:abstractNumId w:val="41"/>
  </w:num>
  <w:num w:numId="32">
    <w:abstractNumId w:val="16"/>
  </w:num>
  <w:num w:numId="33">
    <w:abstractNumId w:val="2"/>
  </w:num>
  <w:num w:numId="34">
    <w:abstractNumId w:val="36"/>
  </w:num>
  <w:num w:numId="35">
    <w:abstractNumId w:val="39"/>
  </w:num>
  <w:num w:numId="36">
    <w:abstractNumId w:val="35"/>
  </w:num>
  <w:num w:numId="37">
    <w:abstractNumId w:val="1"/>
  </w:num>
  <w:num w:numId="38">
    <w:abstractNumId w:val="45"/>
  </w:num>
  <w:num w:numId="39">
    <w:abstractNumId w:val="13"/>
  </w:num>
  <w:num w:numId="40">
    <w:abstractNumId w:val="32"/>
  </w:num>
  <w:num w:numId="41">
    <w:abstractNumId w:val="19"/>
  </w:num>
  <w:num w:numId="42">
    <w:abstractNumId w:val="10"/>
  </w:num>
  <w:num w:numId="43">
    <w:abstractNumId w:val="18"/>
  </w:num>
  <w:num w:numId="44">
    <w:abstractNumId w:val="28"/>
  </w:num>
  <w:num w:numId="45">
    <w:abstractNumId w:val="5"/>
  </w:num>
  <w:num w:numId="46">
    <w:abstractNumId w:val="3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CO" w:vendorID="64" w:dllVersion="6" w:nlCheck="1" w:checkStyle="0"/>
  <w:activeWritingStyle w:appName="MSWord" w:lang="en-US" w:vendorID="64" w:dllVersion="6" w:nlCheck="1" w:checkStyle="0"/>
  <w:activeWritingStyle w:appName="MSWord" w:lang="es-CO" w:vendorID="64" w:dllVersion="4096" w:nlCheck="1" w:checkStyle="0"/>
  <w:activeWritingStyle w:appName="MSWord" w:lang="en-US" w:vendorID="64" w:dllVersion="4096" w:nlCheck="1" w:checkStyle="0"/>
  <w:activeWritingStyle w:appName="MSWord" w:lang="es-ES" w:vendorID="64" w:dllVersion="6" w:nlCheck="1" w:checkStyle="0"/>
  <w:activeWritingStyle w:appName="MSWord" w:lang="es-CO" w:vendorID="64" w:dllVersion="0" w:nlCheck="1" w:checkStyle="0"/>
  <w:activeWritingStyle w:appName="MSWord" w:lang="en-US" w:vendorID="64" w:dllVersion="0" w:nlCheck="1" w:checkStyle="0"/>
  <w:activeWritingStyle w:appName="MSWord" w:lang="es-ES" w:vendorID="64" w:dllVersion="0" w:nlCheck="1" w:checkStyle="0"/>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es-ES_tradnl" w:vendorID="64" w:dllVersion="6" w:nlCheck="1" w:checkStyle="0"/>
  <w:activeWritingStyle w:appName="MSWord" w:lang="es-ES_tradnl" w:vendorID="64" w:dllVersion="0" w:nlCheck="1" w:checkStyle="0"/>
  <w:activeWritingStyle w:appName="MSWord" w:lang="pt-BR" w:vendorID="64" w:dllVersion="0" w:nlCheck="1" w:checkStyle="0"/>
  <w:activeWritingStyle w:appName="MSWord" w:lang="es-MX" w:vendorID="64" w:dllVersion="0" w:nlCheck="1" w:checkStyle="0"/>
  <w:activeWritingStyle w:appName="MSWord" w:lang="fr-FR" w:vendorID="64" w:dllVersion="0" w:nlCheck="1" w:checkStyle="0"/>
  <w:activeWritingStyle w:appName="MSWord" w:lang="da-DK" w:vendorID="64" w:dllVersion="0" w:nlCheck="1" w:checkStyle="0"/>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6F95"/>
    <w:rsid w:val="0000062A"/>
    <w:rsid w:val="00000A45"/>
    <w:rsid w:val="00000E98"/>
    <w:rsid w:val="00001A0B"/>
    <w:rsid w:val="00001F60"/>
    <w:rsid w:val="00001FF3"/>
    <w:rsid w:val="00002E0D"/>
    <w:rsid w:val="0000358F"/>
    <w:rsid w:val="00003648"/>
    <w:rsid w:val="00003765"/>
    <w:rsid w:val="00003A70"/>
    <w:rsid w:val="000049EF"/>
    <w:rsid w:val="000073FF"/>
    <w:rsid w:val="00010126"/>
    <w:rsid w:val="00011992"/>
    <w:rsid w:val="00011AF3"/>
    <w:rsid w:val="00012397"/>
    <w:rsid w:val="00012607"/>
    <w:rsid w:val="000136B1"/>
    <w:rsid w:val="0001375C"/>
    <w:rsid w:val="00013ECE"/>
    <w:rsid w:val="00015548"/>
    <w:rsid w:val="000157C7"/>
    <w:rsid w:val="00015F39"/>
    <w:rsid w:val="00016F13"/>
    <w:rsid w:val="000178A9"/>
    <w:rsid w:val="00020993"/>
    <w:rsid w:val="00020D2B"/>
    <w:rsid w:val="000213DA"/>
    <w:rsid w:val="00021DB2"/>
    <w:rsid w:val="00021FE2"/>
    <w:rsid w:val="0002208F"/>
    <w:rsid w:val="000229C6"/>
    <w:rsid w:val="0002327A"/>
    <w:rsid w:val="00023971"/>
    <w:rsid w:val="00024ED7"/>
    <w:rsid w:val="00025972"/>
    <w:rsid w:val="00026142"/>
    <w:rsid w:val="00026244"/>
    <w:rsid w:val="000266CF"/>
    <w:rsid w:val="0002671E"/>
    <w:rsid w:val="0002675E"/>
    <w:rsid w:val="00026E5A"/>
    <w:rsid w:val="00026EC8"/>
    <w:rsid w:val="00026F38"/>
    <w:rsid w:val="0002706B"/>
    <w:rsid w:val="00027969"/>
    <w:rsid w:val="0003099F"/>
    <w:rsid w:val="00030D79"/>
    <w:rsid w:val="000315C1"/>
    <w:rsid w:val="000318FF"/>
    <w:rsid w:val="0003255A"/>
    <w:rsid w:val="00032D1B"/>
    <w:rsid w:val="00033445"/>
    <w:rsid w:val="00033835"/>
    <w:rsid w:val="00034DD4"/>
    <w:rsid w:val="00034E0F"/>
    <w:rsid w:val="00035269"/>
    <w:rsid w:val="00035B28"/>
    <w:rsid w:val="000367E8"/>
    <w:rsid w:val="000376FC"/>
    <w:rsid w:val="00037898"/>
    <w:rsid w:val="0004032B"/>
    <w:rsid w:val="000406FF"/>
    <w:rsid w:val="000414DA"/>
    <w:rsid w:val="000428FF"/>
    <w:rsid w:val="000429C9"/>
    <w:rsid w:val="00043576"/>
    <w:rsid w:val="000443F7"/>
    <w:rsid w:val="0004533F"/>
    <w:rsid w:val="000454D9"/>
    <w:rsid w:val="00045EFC"/>
    <w:rsid w:val="00045F5C"/>
    <w:rsid w:val="00045FA6"/>
    <w:rsid w:val="00046391"/>
    <w:rsid w:val="000470B8"/>
    <w:rsid w:val="0004713A"/>
    <w:rsid w:val="00047348"/>
    <w:rsid w:val="0004759D"/>
    <w:rsid w:val="00047636"/>
    <w:rsid w:val="000508AB"/>
    <w:rsid w:val="00050A56"/>
    <w:rsid w:val="00050B37"/>
    <w:rsid w:val="00051186"/>
    <w:rsid w:val="0005152F"/>
    <w:rsid w:val="000519CA"/>
    <w:rsid w:val="0005202A"/>
    <w:rsid w:val="00053467"/>
    <w:rsid w:val="00054698"/>
    <w:rsid w:val="000554CD"/>
    <w:rsid w:val="00055818"/>
    <w:rsid w:val="00055987"/>
    <w:rsid w:val="00055A05"/>
    <w:rsid w:val="0005607D"/>
    <w:rsid w:val="000560DD"/>
    <w:rsid w:val="00056910"/>
    <w:rsid w:val="00057E3C"/>
    <w:rsid w:val="00060A36"/>
    <w:rsid w:val="0006189B"/>
    <w:rsid w:val="00061A25"/>
    <w:rsid w:val="00063232"/>
    <w:rsid w:val="00063B75"/>
    <w:rsid w:val="00063FE0"/>
    <w:rsid w:val="00064286"/>
    <w:rsid w:val="00065829"/>
    <w:rsid w:val="00065952"/>
    <w:rsid w:val="00066470"/>
    <w:rsid w:val="00066ED8"/>
    <w:rsid w:val="0006792E"/>
    <w:rsid w:val="00070543"/>
    <w:rsid w:val="00070893"/>
    <w:rsid w:val="00070A7F"/>
    <w:rsid w:val="00070B4F"/>
    <w:rsid w:val="000721E9"/>
    <w:rsid w:val="000724A1"/>
    <w:rsid w:val="000725BA"/>
    <w:rsid w:val="000745A2"/>
    <w:rsid w:val="00074C50"/>
    <w:rsid w:val="00074D3A"/>
    <w:rsid w:val="00075A71"/>
    <w:rsid w:val="0007699F"/>
    <w:rsid w:val="00076B2F"/>
    <w:rsid w:val="000774B8"/>
    <w:rsid w:val="000776F5"/>
    <w:rsid w:val="00077848"/>
    <w:rsid w:val="00077EF1"/>
    <w:rsid w:val="00077F5E"/>
    <w:rsid w:val="000804A0"/>
    <w:rsid w:val="0008179E"/>
    <w:rsid w:val="0008194D"/>
    <w:rsid w:val="000820C9"/>
    <w:rsid w:val="0008328A"/>
    <w:rsid w:val="0008330B"/>
    <w:rsid w:val="000835F3"/>
    <w:rsid w:val="000848D1"/>
    <w:rsid w:val="00084AF4"/>
    <w:rsid w:val="00084DA0"/>
    <w:rsid w:val="00086B1E"/>
    <w:rsid w:val="00086C40"/>
    <w:rsid w:val="00086D74"/>
    <w:rsid w:val="00090792"/>
    <w:rsid w:val="00090D86"/>
    <w:rsid w:val="00091F78"/>
    <w:rsid w:val="000921B1"/>
    <w:rsid w:val="00092A1E"/>
    <w:rsid w:val="0009330B"/>
    <w:rsid w:val="00093AF7"/>
    <w:rsid w:val="00094DBF"/>
    <w:rsid w:val="00094EA9"/>
    <w:rsid w:val="00095CFB"/>
    <w:rsid w:val="00096261"/>
    <w:rsid w:val="000964D4"/>
    <w:rsid w:val="00097D9F"/>
    <w:rsid w:val="000A246F"/>
    <w:rsid w:val="000A3397"/>
    <w:rsid w:val="000A48B1"/>
    <w:rsid w:val="000A48B3"/>
    <w:rsid w:val="000A4DC2"/>
    <w:rsid w:val="000A54AB"/>
    <w:rsid w:val="000A5530"/>
    <w:rsid w:val="000A6CA9"/>
    <w:rsid w:val="000A75E4"/>
    <w:rsid w:val="000A7C69"/>
    <w:rsid w:val="000B04D7"/>
    <w:rsid w:val="000B0AC0"/>
    <w:rsid w:val="000B1509"/>
    <w:rsid w:val="000B26AD"/>
    <w:rsid w:val="000B32F7"/>
    <w:rsid w:val="000B405B"/>
    <w:rsid w:val="000B468B"/>
    <w:rsid w:val="000B59FE"/>
    <w:rsid w:val="000B677B"/>
    <w:rsid w:val="000B6EFC"/>
    <w:rsid w:val="000B7E76"/>
    <w:rsid w:val="000C0FAA"/>
    <w:rsid w:val="000C19AF"/>
    <w:rsid w:val="000C26E2"/>
    <w:rsid w:val="000C2C38"/>
    <w:rsid w:val="000C3A2C"/>
    <w:rsid w:val="000C3BA2"/>
    <w:rsid w:val="000C3BBF"/>
    <w:rsid w:val="000C459F"/>
    <w:rsid w:val="000C4874"/>
    <w:rsid w:val="000C4EDA"/>
    <w:rsid w:val="000C6110"/>
    <w:rsid w:val="000C6E6D"/>
    <w:rsid w:val="000C76E2"/>
    <w:rsid w:val="000D081B"/>
    <w:rsid w:val="000D13FE"/>
    <w:rsid w:val="000D1B47"/>
    <w:rsid w:val="000D20B4"/>
    <w:rsid w:val="000D2D84"/>
    <w:rsid w:val="000D39EE"/>
    <w:rsid w:val="000D3EE3"/>
    <w:rsid w:val="000D44FC"/>
    <w:rsid w:val="000D46F2"/>
    <w:rsid w:val="000D65F7"/>
    <w:rsid w:val="000D6938"/>
    <w:rsid w:val="000D6D43"/>
    <w:rsid w:val="000D6E8B"/>
    <w:rsid w:val="000D767B"/>
    <w:rsid w:val="000D77D0"/>
    <w:rsid w:val="000D7A06"/>
    <w:rsid w:val="000E02AC"/>
    <w:rsid w:val="000E0395"/>
    <w:rsid w:val="000E04B8"/>
    <w:rsid w:val="000E0B45"/>
    <w:rsid w:val="000E0D6A"/>
    <w:rsid w:val="000E0DE8"/>
    <w:rsid w:val="000E12A7"/>
    <w:rsid w:val="000E153B"/>
    <w:rsid w:val="000E1718"/>
    <w:rsid w:val="000E1719"/>
    <w:rsid w:val="000E17F9"/>
    <w:rsid w:val="000E2E5C"/>
    <w:rsid w:val="000E54D9"/>
    <w:rsid w:val="000E5FFB"/>
    <w:rsid w:val="000E62C1"/>
    <w:rsid w:val="000E66D9"/>
    <w:rsid w:val="000E7470"/>
    <w:rsid w:val="000F08CE"/>
    <w:rsid w:val="000F0D37"/>
    <w:rsid w:val="000F239B"/>
    <w:rsid w:val="000F24AD"/>
    <w:rsid w:val="000F255E"/>
    <w:rsid w:val="000F2D4D"/>
    <w:rsid w:val="000F3B22"/>
    <w:rsid w:val="000F41A9"/>
    <w:rsid w:val="000F42C7"/>
    <w:rsid w:val="000F4A49"/>
    <w:rsid w:val="000F55D5"/>
    <w:rsid w:val="000F5BEC"/>
    <w:rsid w:val="000F5F0D"/>
    <w:rsid w:val="000F627F"/>
    <w:rsid w:val="000F685A"/>
    <w:rsid w:val="000F6F58"/>
    <w:rsid w:val="000F7B06"/>
    <w:rsid w:val="00100C44"/>
    <w:rsid w:val="00101059"/>
    <w:rsid w:val="001017A2"/>
    <w:rsid w:val="00101C52"/>
    <w:rsid w:val="00101E8A"/>
    <w:rsid w:val="00101E8B"/>
    <w:rsid w:val="001021A9"/>
    <w:rsid w:val="00102647"/>
    <w:rsid w:val="0010360D"/>
    <w:rsid w:val="00103896"/>
    <w:rsid w:val="00103B48"/>
    <w:rsid w:val="001044D5"/>
    <w:rsid w:val="001052EE"/>
    <w:rsid w:val="00106BB0"/>
    <w:rsid w:val="00107160"/>
    <w:rsid w:val="00107780"/>
    <w:rsid w:val="00110DAB"/>
    <w:rsid w:val="00112CAE"/>
    <w:rsid w:val="0011502A"/>
    <w:rsid w:val="001151BF"/>
    <w:rsid w:val="001158AB"/>
    <w:rsid w:val="00115B9E"/>
    <w:rsid w:val="00115FE6"/>
    <w:rsid w:val="0011687B"/>
    <w:rsid w:val="00116E81"/>
    <w:rsid w:val="00117092"/>
    <w:rsid w:val="00117799"/>
    <w:rsid w:val="001178A1"/>
    <w:rsid w:val="00117C37"/>
    <w:rsid w:val="00117D70"/>
    <w:rsid w:val="00120AEE"/>
    <w:rsid w:val="0012135B"/>
    <w:rsid w:val="0012195A"/>
    <w:rsid w:val="00121A90"/>
    <w:rsid w:val="00121C15"/>
    <w:rsid w:val="00121ED3"/>
    <w:rsid w:val="001225F6"/>
    <w:rsid w:val="001233C5"/>
    <w:rsid w:val="001244B7"/>
    <w:rsid w:val="0012484D"/>
    <w:rsid w:val="00124B77"/>
    <w:rsid w:val="00125398"/>
    <w:rsid w:val="00125462"/>
    <w:rsid w:val="0012546C"/>
    <w:rsid w:val="00125587"/>
    <w:rsid w:val="00125E0A"/>
    <w:rsid w:val="001264A9"/>
    <w:rsid w:val="0012726B"/>
    <w:rsid w:val="001308BD"/>
    <w:rsid w:val="00130BC2"/>
    <w:rsid w:val="00130C23"/>
    <w:rsid w:val="0013232E"/>
    <w:rsid w:val="00132E4E"/>
    <w:rsid w:val="0013316D"/>
    <w:rsid w:val="00133979"/>
    <w:rsid w:val="00133B51"/>
    <w:rsid w:val="0013519D"/>
    <w:rsid w:val="00135DB4"/>
    <w:rsid w:val="00136CE0"/>
    <w:rsid w:val="00137090"/>
    <w:rsid w:val="00137736"/>
    <w:rsid w:val="00137A57"/>
    <w:rsid w:val="00137C44"/>
    <w:rsid w:val="00137CB8"/>
    <w:rsid w:val="00140978"/>
    <w:rsid w:val="00140D5C"/>
    <w:rsid w:val="00140D80"/>
    <w:rsid w:val="001411A2"/>
    <w:rsid w:val="001423A8"/>
    <w:rsid w:val="00143973"/>
    <w:rsid w:val="00143A28"/>
    <w:rsid w:val="00143DD2"/>
    <w:rsid w:val="00143F57"/>
    <w:rsid w:val="00144544"/>
    <w:rsid w:val="001447CB"/>
    <w:rsid w:val="001453A2"/>
    <w:rsid w:val="001457BC"/>
    <w:rsid w:val="001461AA"/>
    <w:rsid w:val="001462D3"/>
    <w:rsid w:val="001466D6"/>
    <w:rsid w:val="00147510"/>
    <w:rsid w:val="001500D8"/>
    <w:rsid w:val="0015039E"/>
    <w:rsid w:val="00150745"/>
    <w:rsid w:val="00150AEA"/>
    <w:rsid w:val="00150C7C"/>
    <w:rsid w:val="001517D5"/>
    <w:rsid w:val="001519F9"/>
    <w:rsid w:val="001524FF"/>
    <w:rsid w:val="0015314F"/>
    <w:rsid w:val="001531D3"/>
    <w:rsid w:val="0015338D"/>
    <w:rsid w:val="00153DD6"/>
    <w:rsid w:val="00154C21"/>
    <w:rsid w:val="0015594B"/>
    <w:rsid w:val="00155952"/>
    <w:rsid w:val="00155C8E"/>
    <w:rsid w:val="0015647D"/>
    <w:rsid w:val="001566C1"/>
    <w:rsid w:val="0015746A"/>
    <w:rsid w:val="00157F2D"/>
    <w:rsid w:val="001603BD"/>
    <w:rsid w:val="0016139B"/>
    <w:rsid w:val="0016153E"/>
    <w:rsid w:val="00161C96"/>
    <w:rsid w:val="00162DD3"/>
    <w:rsid w:val="001630ED"/>
    <w:rsid w:val="0016346F"/>
    <w:rsid w:val="001639C4"/>
    <w:rsid w:val="00163BA4"/>
    <w:rsid w:val="00163EE6"/>
    <w:rsid w:val="0016446D"/>
    <w:rsid w:val="00164A0F"/>
    <w:rsid w:val="00164ACC"/>
    <w:rsid w:val="00164C20"/>
    <w:rsid w:val="00165833"/>
    <w:rsid w:val="0016584B"/>
    <w:rsid w:val="00166440"/>
    <w:rsid w:val="00166C3F"/>
    <w:rsid w:val="0016724F"/>
    <w:rsid w:val="00167273"/>
    <w:rsid w:val="00167C8B"/>
    <w:rsid w:val="001704E8"/>
    <w:rsid w:val="001706FD"/>
    <w:rsid w:val="00170EC0"/>
    <w:rsid w:val="00171750"/>
    <w:rsid w:val="0017211E"/>
    <w:rsid w:val="00172781"/>
    <w:rsid w:val="00172928"/>
    <w:rsid w:val="00173444"/>
    <w:rsid w:val="0017374B"/>
    <w:rsid w:val="00173DAE"/>
    <w:rsid w:val="00174010"/>
    <w:rsid w:val="0017507B"/>
    <w:rsid w:val="00176FF6"/>
    <w:rsid w:val="0017738A"/>
    <w:rsid w:val="00177677"/>
    <w:rsid w:val="00177C57"/>
    <w:rsid w:val="00180F12"/>
    <w:rsid w:val="00180F93"/>
    <w:rsid w:val="001810BD"/>
    <w:rsid w:val="001819F8"/>
    <w:rsid w:val="00182EF8"/>
    <w:rsid w:val="00183033"/>
    <w:rsid w:val="0018386B"/>
    <w:rsid w:val="00184020"/>
    <w:rsid w:val="00184C51"/>
    <w:rsid w:val="0018506E"/>
    <w:rsid w:val="00185137"/>
    <w:rsid w:val="0018745C"/>
    <w:rsid w:val="0018747C"/>
    <w:rsid w:val="001875F6"/>
    <w:rsid w:val="001879D9"/>
    <w:rsid w:val="0019010A"/>
    <w:rsid w:val="001907A2"/>
    <w:rsid w:val="00190933"/>
    <w:rsid w:val="00190CED"/>
    <w:rsid w:val="00190EF7"/>
    <w:rsid w:val="001911D1"/>
    <w:rsid w:val="0019206A"/>
    <w:rsid w:val="00192840"/>
    <w:rsid w:val="001936B3"/>
    <w:rsid w:val="00193955"/>
    <w:rsid w:val="00194DEF"/>
    <w:rsid w:val="00194E61"/>
    <w:rsid w:val="001955D2"/>
    <w:rsid w:val="00195F95"/>
    <w:rsid w:val="001969A1"/>
    <w:rsid w:val="001971A0"/>
    <w:rsid w:val="00197A52"/>
    <w:rsid w:val="00197C15"/>
    <w:rsid w:val="001A0904"/>
    <w:rsid w:val="001A1127"/>
    <w:rsid w:val="001A1F53"/>
    <w:rsid w:val="001A1FA6"/>
    <w:rsid w:val="001A33E2"/>
    <w:rsid w:val="001A42C6"/>
    <w:rsid w:val="001A5407"/>
    <w:rsid w:val="001A6B11"/>
    <w:rsid w:val="001A72DF"/>
    <w:rsid w:val="001A76A8"/>
    <w:rsid w:val="001B04DD"/>
    <w:rsid w:val="001B0E59"/>
    <w:rsid w:val="001B13A8"/>
    <w:rsid w:val="001B15D4"/>
    <w:rsid w:val="001B40B2"/>
    <w:rsid w:val="001B4C2C"/>
    <w:rsid w:val="001B5227"/>
    <w:rsid w:val="001B53A9"/>
    <w:rsid w:val="001B55F6"/>
    <w:rsid w:val="001B5DD0"/>
    <w:rsid w:val="001B5DF1"/>
    <w:rsid w:val="001B6208"/>
    <w:rsid w:val="001B62C6"/>
    <w:rsid w:val="001B6D5F"/>
    <w:rsid w:val="001B733B"/>
    <w:rsid w:val="001C2313"/>
    <w:rsid w:val="001C2E8B"/>
    <w:rsid w:val="001C3476"/>
    <w:rsid w:val="001C5114"/>
    <w:rsid w:val="001C516B"/>
    <w:rsid w:val="001C523C"/>
    <w:rsid w:val="001C5937"/>
    <w:rsid w:val="001C63DF"/>
    <w:rsid w:val="001C7067"/>
    <w:rsid w:val="001C74F9"/>
    <w:rsid w:val="001D0B18"/>
    <w:rsid w:val="001D0CF3"/>
    <w:rsid w:val="001D1046"/>
    <w:rsid w:val="001D12B9"/>
    <w:rsid w:val="001D448A"/>
    <w:rsid w:val="001D5C90"/>
    <w:rsid w:val="001D649B"/>
    <w:rsid w:val="001D6BDB"/>
    <w:rsid w:val="001D7A24"/>
    <w:rsid w:val="001E2726"/>
    <w:rsid w:val="001E4101"/>
    <w:rsid w:val="001E4230"/>
    <w:rsid w:val="001E520E"/>
    <w:rsid w:val="001E5D39"/>
    <w:rsid w:val="001E6B45"/>
    <w:rsid w:val="001E77EF"/>
    <w:rsid w:val="001E7842"/>
    <w:rsid w:val="001E7B12"/>
    <w:rsid w:val="001E7DC0"/>
    <w:rsid w:val="001E7DCA"/>
    <w:rsid w:val="001F014A"/>
    <w:rsid w:val="001F0304"/>
    <w:rsid w:val="001F18B3"/>
    <w:rsid w:val="001F1AB9"/>
    <w:rsid w:val="001F1D80"/>
    <w:rsid w:val="001F2449"/>
    <w:rsid w:val="001F35E9"/>
    <w:rsid w:val="001F37DB"/>
    <w:rsid w:val="001F40B0"/>
    <w:rsid w:val="001F42DE"/>
    <w:rsid w:val="001F43F3"/>
    <w:rsid w:val="001F45CC"/>
    <w:rsid w:val="001F4789"/>
    <w:rsid w:val="001F480B"/>
    <w:rsid w:val="001F48D0"/>
    <w:rsid w:val="001F4D4D"/>
    <w:rsid w:val="001F5A22"/>
    <w:rsid w:val="001F5FDA"/>
    <w:rsid w:val="001F6234"/>
    <w:rsid w:val="001F7F75"/>
    <w:rsid w:val="00201301"/>
    <w:rsid w:val="00201BDB"/>
    <w:rsid w:val="0020256F"/>
    <w:rsid w:val="00203BD9"/>
    <w:rsid w:val="002043DC"/>
    <w:rsid w:val="00204559"/>
    <w:rsid w:val="002066AA"/>
    <w:rsid w:val="00207032"/>
    <w:rsid w:val="00207278"/>
    <w:rsid w:val="00207655"/>
    <w:rsid w:val="00210336"/>
    <w:rsid w:val="00210F84"/>
    <w:rsid w:val="00212A8E"/>
    <w:rsid w:val="00212AA6"/>
    <w:rsid w:val="00214033"/>
    <w:rsid w:val="002148F3"/>
    <w:rsid w:val="00214A0D"/>
    <w:rsid w:val="00214FFD"/>
    <w:rsid w:val="002161F3"/>
    <w:rsid w:val="00216878"/>
    <w:rsid w:val="00216D81"/>
    <w:rsid w:val="00216DFC"/>
    <w:rsid w:val="0021704A"/>
    <w:rsid w:val="00217403"/>
    <w:rsid w:val="00217CC7"/>
    <w:rsid w:val="00220172"/>
    <w:rsid w:val="0022026D"/>
    <w:rsid w:val="002204E5"/>
    <w:rsid w:val="002209E8"/>
    <w:rsid w:val="00220DE7"/>
    <w:rsid w:val="00222337"/>
    <w:rsid w:val="002224B8"/>
    <w:rsid w:val="002243B6"/>
    <w:rsid w:val="00224CB8"/>
    <w:rsid w:val="00224DD3"/>
    <w:rsid w:val="00225680"/>
    <w:rsid w:val="0022579F"/>
    <w:rsid w:val="002271D2"/>
    <w:rsid w:val="002272FF"/>
    <w:rsid w:val="00227D5D"/>
    <w:rsid w:val="002307BA"/>
    <w:rsid w:val="00230DE9"/>
    <w:rsid w:val="002315A8"/>
    <w:rsid w:val="002320C3"/>
    <w:rsid w:val="00233036"/>
    <w:rsid w:val="002336CD"/>
    <w:rsid w:val="002346E2"/>
    <w:rsid w:val="00234E69"/>
    <w:rsid w:val="00235A69"/>
    <w:rsid w:val="0023613D"/>
    <w:rsid w:val="00236890"/>
    <w:rsid w:val="0023764D"/>
    <w:rsid w:val="00240306"/>
    <w:rsid w:val="002406D6"/>
    <w:rsid w:val="00240A3A"/>
    <w:rsid w:val="002413F2"/>
    <w:rsid w:val="002421F2"/>
    <w:rsid w:val="00242246"/>
    <w:rsid w:val="00242363"/>
    <w:rsid w:val="00242CF2"/>
    <w:rsid w:val="00243127"/>
    <w:rsid w:val="0024327E"/>
    <w:rsid w:val="002433A6"/>
    <w:rsid w:val="00243E3C"/>
    <w:rsid w:val="00245485"/>
    <w:rsid w:val="00246A65"/>
    <w:rsid w:val="0024764A"/>
    <w:rsid w:val="0024779C"/>
    <w:rsid w:val="00250905"/>
    <w:rsid w:val="00250941"/>
    <w:rsid w:val="0025126C"/>
    <w:rsid w:val="00251FAF"/>
    <w:rsid w:val="0025225D"/>
    <w:rsid w:val="00252799"/>
    <w:rsid w:val="00252D01"/>
    <w:rsid w:val="00253D3C"/>
    <w:rsid w:val="002541A9"/>
    <w:rsid w:val="00254D71"/>
    <w:rsid w:val="00255AB6"/>
    <w:rsid w:val="0025661A"/>
    <w:rsid w:val="00257424"/>
    <w:rsid w:val="00257B78"/>
    <w:rsid w:val="002616C1"/>
    <w:rsid w:val="00261D95"/>
    <w:rsid w:val="00262E78"/>
    <w:rsid w:val="00262EFE"/>
    <w:rsid w:val="00262F73"/>
    <w:rsid w:val="0026334A"/>
    <w:rsid w:val="002634A7"/>
    <w:rsid w:val="002636DA"/>
    <w:rsid w:val="0026411F"/>
    <w:rsid w:val="00264C22"/>
    <w:rsid w:val="00264EF9"/>
    <w:rsid w:val="00265AD1"/>
    <w:rsid w:val="00265D1E"/>
    <w:rsid w:val="00266BDE"/>
    <w:rsid w:val="00270D27"/>
    <w:rsid w:val="0027131C"/>
    <w:rsid w:val="00271331"/>
    <w:rsid w:val="00271EB3"/>
    <w:rsid w:val="002721DA"/>
    <w:rsid w:val="0027267E"/>
    <w:rsid w:val="002727D4"/>
    <w:rsid w:val="00272EE7"/>
    <w:rsid w:val="00273F9E"/>
    <w:rsid w:val="00274A22"/>
    <w:rsid w:val="00274A38"/>
    <w:rsid w:val="00274F14"/>
    <w:rsid w:val="00276329"/>
    <w:rsid w:val="002763FB"/>
    <w:rsid w:val="00276859"/>
    <w:rsid w:val="00276D58"/>
    <w:rsid w:val="002771E4"/>
    <w:rsid w:val="00277974"/>
    <w:rsid w:val="00277A8C"/>
    <w:rsid w:val="0028027C"/>
    <w:rsid w:val="00280921"/>
    <w:rsid w:val="00282D83"/>
    <w:rsid w:val="0028335D"/>
    <w:rsid w:val="00283823"/>
    <w:rsid w:val="00283D20"/>
    <w:rsid w:val="00283EB2"/>
    <w:rsid w:val="00285721"/>
    <w:rsid w:val="00285727"/>
    <w:rsid w:val="00286183"/>
    <w:rsid w:val="0028627C"/>
    <w:rsid w:val="00286669"/>
    <w:rsid w:val="00287F1B"/>
    <w:rsid w:val="00290BFD"/>
    <w:rsid w:val="0029127B"/>
    <w:rsid w:val="00291424"/>
    <w:rsid w:val="0029178C"/>
    <w:rsid w:val="00291961"/>
    <w:rsid w:val="00292E8F"/>
    <w:rsid w:val="002943A2"/>
    <w:rsid w:val="0029701F"/>
    <w:rsid w:val="00297595"/>
    <w:rsid w:val="00297724"/>
    <w:rsid w:val="002977D4"/>
    <w:rsid w:val="00297B72"/>
    <w:rsid w:val="002A0422"/>
    <w:rsid w:val="002A04EA"/>
    <w:rsid w:val="002A06AB"/>
    <w:rsid w:val="002A0773"/>
    <w:rsid w:val="002A148A"/>
    <w:rsid w:val="002A1B31"/>
    <w:rsid w:val="002A2146"/>
    <w:rsid w:val="002A262A"/>
    <w:rsid w:val="002A3121"/>
    <w:rsid w:val="002A335B"/>
    <w:rsid w:val="002A358D"/>
    <w:rsid w:val="002A4ACC"/>
    <w:rsid w:val="002A4D7B"/>
    <w:rsid w:val="002A5F70"/>
    <w:rsid w:val="002A6A77"/>
    <w:rsid w:val="002A6BDC"/>
    <w:rsid w:val="002A6C85"/>
    <w:rsid w:val="002A720E"/>
    <w:rsid w:val="002A761A"/>
    <w:rsid w:val="002A7C74"/>
    <w:rsid w:val="002B0358"/>
    <w:rsid w:val="002B039E"/>
    <w:rsid w:val="002B15B0"/>
    <w:rsid w:val="002B1E7C"/>
    <w:rsid w:val="002B1FC7"/>
    <w:rsid w:val="002B3AF5"/>
    <w:rsid w:val="002B3CFC"/>
    <w:rsid w:val="002B3DAF"/>
    <w:rsid w:val="002B4041"/>
    <w:rsid w:val="002B42BD"/>
    <w:rsid w:val="002B508C"/>
    <w:rsid w:val="002B51E3"/>
    <w:rsid w:val="002B5602"/>
    <w:rsid w:val="002B6296"/>
    <w:rsid w:val="002B6822"/>
    <w:rsid w:val="002B77D1"/>
    <w:rsid w:val="002C0017"/>
    <w:rsid w:val="002C0655"/>
    <w:rsid w:val="002C08AF"/>
    <w:rsid w:val="002C1080"/>
    <w:rsid w:val="002C16A5"/>
    <w:rsid w:val="002C1B6A"/>
    <w:rsid w:val="002C2D89"/>
    <w:rsid w:val="002C3628"/>
    <w:rsid w:val="002C388A"/>
    <w:rsid w:val="002C44EF"/>
    <w:rsid w:val="002C4E37"/>
    <w:rsid w:val="002D053C"/>
    <w:rsid w:val="002D0A80"/>
    <w:rsid w:val="002D220D"/>
    <w:rsid w:val="002D2245"/>
    <w:rsid w:val="002D2877"/>
    <w:rsid w:val="002D2D67"/>
    <w:rsid w:val="002D5F6E"/>
    <w:rsid w:val="002E03D7"/>
    <w:rsid w:val="002E08A1"/>
    <w:rsid w:val="002E0AA5"/>
    <w:rsid w:val="002E0DA9"/>
    <w:rsid w:val="002E1A34"/>
    <w:rsid w:val="002E26CD"/>
    <w:rsid w:val="002E2E0A"/>
    <w:rsid w:val="002E3A5B"/>
    <w:rsid w:val="002E4289"/>
    <w:rsid w:val="002E4C8F"/>
    <w:rsid w:val="002E5462"/>
    <w:rsid w:val="002E6F5F"/>
    <w:rsid w:val="002E7430"/>
    <w:rsid w:val="002E7BB3"/>
    <w:rsid w:val="002E7F87"/>
    <w:rsid w:val="002F021D"/>
    <w:rsid w:val="002F22BF"/>
    <w:rsid w:val="002F483F"/>
    <w:rsid w:val="002F5AAA"/>
    <w:rsid w:val="002F6262"/>
    <w:rsid w:val="002F7BC1"/>
    <w:rsid w:val="00300BC9"/>
    <w:rsid w:val="00300E7B"/>
    <w:rsid w:val="00301330"/>
    <w:rsid w:val="00302065"/>
    <w:rsid w:val="00302E41"/>
    <w:rsid w:val="00302FDA"/>
    <w:rsid w:val="0030496C"/>
    <w:rsid w:val="00304A36"/>
    <w:rsid w:val="00306BB8"/>
    <w:rsid w:val="00306DCC"/>
    <w:rsid w:val="0030775E"/>
    <w:rsid w:val="00310F37"/>
    <w:rsid w:val="00311CA1"/>
    <w:rsid w:val="00311F15"/>
    <w:rsid w:val="00312F36"/>
    <w:rsid w:val="00313240"/>
    <w:rsid w:val="0031386E"/>
    <w:rsid w:val="00313A29"/>
    <w:rsid w:val="0031411A"/>
    <w:rsid w:val="003147B3"/>
    <w:rsid w:val="00314853"/>
    <w:rsid w:val="003153C8"/>
    <w:rsid w:val="00315DC0"/>
    <w:rsid w:val="0031659A"/>
    <w:rsid w:val="003168A4"/>
    <w:rsid w:val="00316E3D"/>
    <w:rsid w:val="003173D5"/>
    <w:rsid w:val="00317C43"/>
    <w:rsid w:val="00317DED"/>
    <w:rsid w:val="0032096A"/>
    <w:rsid w:val="0032105A"/>
    <w:rsid w:val="003219E0"/>
    <w:rsid w:val="003222B3"/>
    <w:rsid w:val="003224A4"/>
    <w:rsid w:val="00322527"/>
    <w:rsid w:val="00322F92"/>
    <w:rsid w:val="00323951"/>
    <w:rsid w:val="003243CE"/>
    <w:rsid w:val="003264CA"/>
    <w:rsid w:val="003271FB"/>
    <w:rsid w:val="00330404"/>
    <w:rsid w:val="00330945"/>
    <w:rsid w:val="003313D7"/>
    <w:rsid w:val="00331B3B"/>
    <w:rsid w:val="00331F60"/>
    <w:rsid w:val="00332700"/>
    <w:rsid w:val="00332824"/>
    <w:rsid w:val="0033298A"/>
    <w:rsid w:val="00332CB4"/>
    <w:rsid w:val="0033366F"/>
    <w:rsid w:val="003337A4"/>
    <w:rsid w:val="00333D73"/>
    <w:rsid w:val="00333DD7"/>
    <w:rsid w:val="00334061"/>
    <w:rsid w:val="003341F4"/>
    <w:rsid w:val="00335060"/>
    <w:rsid w:val="003352CA"/>
    <w:rsid w:val="003356DE"/>
    <w:rsid w:val="003359DD"/>
    <w:rsid w:val="00335C00"/>
    <w:rsid w:val="00336484"/>
    <w:rsid w:val="00340D89"/>
    <w:rsid w:val="00340DE9"/>
    <w:rsid w:val="00341729"/>
    <w:rsid w:val="0034289E"/>
    <w:rsid w:val="003428AB"/>
    <w:rsid w:val="00342E56"/>
    <w:rsid w:val="00343094"/>
    <w:rsid w:val="003438AE"/>
    <w:rsid w:val="00343AE2"/>
    <w:rsid w:val="00343F96"/>
    <w:rsid w:val="00344177"/>
    <w:rsid w:val="00344229"/>
    <w:rsid w:val="00344B3C"/>
    <w:rsid w:val="00345628"/>
    <w:rsid w:val="0034608E"/>
    <w:rsid w:val="0034620D"/>
    <w:rsid w:val="003467A5"/>
    <w:rsid w:val="0034720E"/>
    <w:rsid w:val="00350DCF"/>
    <w:rsid w:val="00351879"/>
    <w:rsid w:val="0035282A"/>
    <w:rsid w:val="00352F57"/>
    <w:rsid w:val="003538B7"/>
    <w:rsid w:val="00355161"/>
    <w:rsid w:val="0035520D"/>
    <w:rsid w:val="00355C13"/>
    <w:rsid w:val="00357460"/>
    <w:rsid w:val="00357A0A"/>
    <w:rsid w:val="00357C8E"/>
    <w:rsid w:val="00357DFE"/>
    <w:rsid w:val="00360775"/>
    <w:rsid w:val="00360F54"/>
    <w:rsid w:val="00363C09"/>
    <w:rsid w:val="00364D98"/>
    <w:rsid w:val="00365364"/>
    <w:rsid w:val="0036549F"/>
    <w:rsid w:val="003655F2"/>
    <w:rsid w:val="00365721"/>
    <w:rsid w:val="0036586C"/>
    <w:rsid w:val="00365A51"/>
    <w:rsid w:val="00366A3F"/>
    <w:rsid w:val="00370292"/>
    <w:rsid w:val="00370572"/>
    <w:rsid w:val="00370C29"/>
    <w:rsid w:val="003714C0"/>
    <w:rsid w:val="00371ACA"/>
    <w:rsid w:val="00372B90"/>
    <w:rsid w:val="0037353B"/>
    <w:rsid w:val="003738B6"/>
    <w:rsid w:val="00374296"/>
    <w:rsid w:val="0037577C"/>
    <w:rsid w:val="003757DD"/>
    <w:rsid w:val="003768DE"/>
    <w:rsid w:val="0037754C"/>
    <w:rsid w:val="0037765C"/>
    <w:rsid w:val="00377777"/>
    <w:rsid w:val="0038047D"/>
    <w:rsid w:val="00380AF7"/>
    <w:rsid w:val="003819E1"/>
    <w:rsid w:val="0038274A"/>
    <w:rsid w:val="00383DD2"/>
    <w:rsid w:val="00385A8C"/>
    <w:rsid w:val="0038645E"/>
    <w:rsid w:val="003867C8"/>
    <w:rsid w:val="00386CE6"/>
    <w:rsid w:val="00387BC6"/>
    <w:rsid w:val="00387F03"/>
    <w:rsid w:val="00391846"/>
    <w:rsid w:val="00391EDE"/>
    <w:rsid w:val="0039268E"/>
    <w:rsid w:val="00394D11"/>
    <w:rsid w:val="00395413"/>
    <w:rsid w:val="00396213"/>
    <w:rsid w:val="003965D4"/>
    <w:rsid w:val="00396AB1"/>
    <w:rsid w:val="00396F5A"/>
    <w:rsid w:val="003A0BA4"/>
    <w:rsid w:val="003A2564"/>
    <w:rsid w:val="003A2C40"/>
    <w:rsid w:val="003A2DA9"/>
    <w:rsid w:val="003A302B"/>
    <w:rsid w:val="003A3156"/>
    <w:rsid w:val="003A401C"/>
    <w:rsid w:val="003A4690"/>
    <w:rsid w:val="003B08CF"/>
    <w:rsid w:val="003B0F07"/>
    <w:rsid w:val="003B157E"/>
    <w:rsid w:val="003B192B"/>
    <w:rsid w:val="003B28AB"/>
    <w:rsid w:val="003B28BB"/>
    <w:rsid w:val="003B2ED2"/>
    <w:rsid w:val="003B3595"/>
    <w:rsid w:val="003B3A80"/>
    <w:rsid w:val="003B3EDC"/>
    <w:rsid w:val="003B4284"/>
    <w:rsid w:val="003B5600"/>
    <w:rsid w:val="003B5A47"/>
    <w:rsid w:val="003B7200"/>
    <w:rsid w:val="003B765C"/>
    <w:rsid w:val="003C072F"/>
    <w:rsid w:val="003C0CB6"/>
    <w:rsid w:val="003C1130"/>
    <w:rsid w:val="003C1139"/>
    <w:rsid w:val="003C119B"/>
    <w:rsid w:val="003C1388"/>
    <w:rsid w:val="003C1D3E"/>
    <w:rsid w:val="003C1D6F"/>
    <w:rsid w:val="003C27E9"/>
    <w:rsid w:val="003C29DE"/>
    <w:rsid w:val="003C3311"/>
    <w:rsid w:val="003C4376"/>
    <w:rsid w:val="003C4CDF"/>
    <w:rsid w:val="003C5F69"/>
    <w:rsid w:val="003C61AD"/>
    <w:rsid w:val="003C7DD1"/>
    <w:rsid w:val="003D00B4"/>
    <w:rsid w:val="003D1189"/>
    <w:rsid w:val="003D13CF"/>
    <w:rsid w:val="003D1DA5"/>
    <w:rsid w:val="003D1F53"/>
    <w:rsid w:val="003D25E5"/>
    <w:rsid w:val="003D2A4F"/>
    <w:rsid w:val="003D2A72"/>
    <w:rsid w:val="003D2ECC"/>
    <w:rsid w:val="003D3186"/>
    <w:rsid w:val="003D400D"/>
    <w:rsid w:val="003D41AE"/>
    <w:rsid w:val="003D523B"/>
    <w:rsid w:val="003D5258"/>
    <w:rsid w:val="003D5806"/>
    <w:rsid w:val="003D5C60"/>
    <w:rsid w:val="003D6347"/>
    <w:rsid w:val="003D6C25"/>
    <w:rsid w:val="003D7624"/>
    <w:rsid w:val="003D7AA3"/>
    <w:rsid w:val="003E092C"/>
    <w:rsid w:val="003E1D77"/>
    <w:rsid w:val="003E20F0"/>
    <w:rsid w:val="003E2908"/>
    <w:rsid w:val="003E32B5"/>
    <w:rsid w:val="003E34C1"/>
    <w:rsid w:val="003E36B7"/>
    <w:rsid w:val="003E39E3"/>
    <w:rsid w:val="003E61D8"/>
    <w:rsid w:val="003E6399"/>
    <w:rsid w:val="003F1A7F"/>
    <w:rsid w:val="003F27A7"/>
    <w:rsid w:val="003F32AD"/>
    <w:rsid w:val="003F3898"/>
    <w:rsid w:val="003F46A2"/>
    <w:rsid w:val="003F56D0"/>
    <w:rsid w:val="003F59DE"/>
    <w:rsid w:val="00400516"/>
    <w:rsid w:val="00400BB1"/>
    <w:rsid w:val="00401329"/>
    <w:rsid w:val="00401B0E"/>
    <w:rsid w:val="00401BCC"/>
    <w:rsid w:val="00402078"/>
    <w:rsid w:val="00402384"/>
    <w:rsid w:val="00403537"/>
    <w:rsid w:val="00403578"/>
    <w:rsid w:val="00403965"/>
    <w:rsid w:val="004039FA"/>
    <w:rsid w:val="004044A3"/>
    <w:rsid w:val="00404DF1"/>
    <w:rsid w:val="00404EA0"/>
    <w:rsid w:val="004052D6"/>
    <w:rsid w:val="00405B61"/>
    <w:rsid w:val="00406E6A"/>
    <w:rsid w:val="0040742A"/>
    <w:rsid w:val="004076CA"/>
    <w:rsid w:val="004079F0"/>
    <w:rsid w:val="00411120"/>
    <w:rsid w:val="004112C1"/>
    <w:rsid w:val="00411E25"/>
    <w:rsid w:val="00412360"/>
    <w:rsid w:val="0041365A"/>
    <w:rsid w:val="0041367A"/>
    <w:rsid w:val="00413CB6"/>
    <w:rsid w:val="004141EA"/>
    <w:rsid w:val="00414339"/>
    <w:rsid w:val="004143C8"/>
    <w:rsid w:val="0041484B"/>
    <w:rsid w:val="004148E9"/>
    <w:rsid w:val="0041490E"/>
    <w:rsid w:val="0041527D"/>
    <w:rsid w:val="004153CE"/>
    <w:rsid w:val="00415573"/>
    <w:rsid w:val="004155C5"/>
    <w:rsid w:val="00415A55"/>
    <w:rsid w:val="00415BBF"/>
    <w:rsid w:val="00416505"/>
    <w:rsid w:val="00416DD0"/>
    <w:rsid w:val="00420BB6"/>
    <w:rsid w:val="004212D1"/>
    <w:rsid w:val="004213E2"/>
    <w:rsid w:val="004218AD"/>
    <w:rsid w:val="00421BB8"/>
    <w:rsid w:val="0042240B"/>
    <w:rsid w:val="004227CD"/>
    <w:rsid w:val="00422B73"/>
    <w:rsid w:val="00422F0F"/>
    <w:rsid w:val="00422FBA"/>
    <w:rsid w:val="00423CAB"/>
    <w:rsid w:val="004246EB"/>
    <w:rsid w:val="004249ED"/>
    <w:rsid w:val="004254EF"/>
    <w:rsid w:val="004264AF"/>
    <w:rsid w:val="00426DDA"/>
    <w:rsid w:val="00427520"/>
    <w:rsid w:val="0043055C"/>
    <w:rsid w:val="0043068F"/>
    <w:rsid w:val="004307FD"/>
    <w:rsid w:val="004308F5"/>
    <w:rsid w:val="00430CE6"/>
    <w:rsid w:val="00431482"/>
    <w:rsid w:val="00431937"/>
    <w:rsid w:val="004323EC"/>
    <w:rsid w:val="00432547"/>
    <w:rsid w:val="004334D6"/>
    <w:rsid w:val="00433593"/>
    <w:rsid w:val="004337E9"/>
    <w:rsid w:val="004347F8"/>
    <w:rsid w:val="00434E61"/>
    <w:rsid w:val="00434F86"/>
    <w:rsid w:val="00436E25"/>
    <w:rsid w:val="004400C0"/>
    <w:rsid w:val="00440BAE"/>
    <w:rsid w:val="00441116"/>
    <w:rsid w:val="004418A6"/>
    <w:rsid w:val="0044241C"/>
    <w:rsid w:val="0044277E"/>
    <w:rsid w:val="00443312"/>
    <w:rsid w:val="004439C3"/>
    <w:rsid w:val="00443A2D"/>
    <w:rsid w:val="004448DA"/>
    <w:rsid w:val="004449F7"/>
    <w:rsid w:val="00445059"/>
    <w:rsid w:val="0044522C"/>
    <w:rsid w:val="004454E5"/>
    <w:rsid w:val="00445B8D"/>
    <w:rsid w:val="00445DFE"/>
    <w:rsid w:val="004460C9"/>
    <w:rsid w:val="004471F8"/>
    <w:rsid w:val="0044775E"/>
    <w:rsid w:val="004478F8"/>
    <w:rsid w:val="00450117"/>
    <w:rsid w:val="0045047F"/>
    <w:rsid w:val="00450B32"/>
    <w:rsid w:val="00450F78"/>
    <w:rsid w:val="0045183D"/>
    <w:rsid w:val="00451D99"/>
    <w:rsid w:val="004525A7"/>
    <w:rsid w:val="00452767"/>
    <w:rsid w:val="004536BB"/>
    <w:rsid w:val="00453756"/>
    <w:rsid w:val="0045424F"/>
    <w:rsid w:val="0045534E"/>
    <w:rsid w:val="0045588E"/>
    <w:rsid w:val="00456552"/>
    <w:rsid w:val="0045695C"/>
    <w:rsid w:val="00456C3E"/>
    <w:rsid w:val="004574CD"/>
    <w:rsid w:val="00457785"/>
    <w:rsid w:val="0046089E"/>
    <w:rsid w:val="00460C60"/>
    <w:rsid w:val="0046143F"/>
    <w:rsid w:val="004619EC"/>
    <w:rsid w:val="00461AF7"/>
    <w:rsid w:val="00461DA0"/>
    <w:rsid w:val="004629F5"/>
    <w:rsid w:val="00462A18"/>
    <w:rsid w:val="004633C1"/>
    <w:rsid w:val="004636FF"/>
    <w:rsid w:val="00463DF1"/>
    <w:rsid w:val="004642FC"/>
    <w:rsid w:val="00465EB3"/>
    <w:rsid w:val="004660C3"/>
    <w:rsid w:val="00466519"/>
    <w:rsid w:val="00466F12"/>
    <w:rsid w:val="00467033"/>
    <w:rsid w:val="004675DB"/>
    <w:rsid w:val="00467EA4"/>
    <w:rsid w:val="00467F88"/>
    <w:rsid w:val="0047211C"/>
    <w:rsid w:val="00472815"/>
    <w:rsid w:val="004733E4"/>
    <w:rsid w:val="00473B5C"/>
    <w:rsid w:val="0047424E"/>
    <w:rsid w:val="00474446"/>
    <w:rsid w:val="0047449D"/>
    <w:rsid w:val="00475210"/>
    <w:rsid w:val="00476227"/>
    <w:rsid w:val="004768A9"/>
    <w:rsid w:val="00477394"/>
    <w:rsid w:val="00481360"/>
    <w:rsid w:val="00481672"/>
    <w:rsid w:val="00481AC5"/>
    <w:rsid w:val="00482DE8"/>
    <w:rsid w:val="00482F68"/>
    <w:rsid w:val="00483579"/>
    <w:rsid w:val="00483BE4"/>
    <w:rsid w:val="00483E2A"/>
    <w:rsid w:val="00484573"/>
    <w:rsid w:val="004863B8"/>
    <w:rsid w:val="00486672"/>
    <w:rsid w:val="00486B79"/>
    <w:rsid w:val="00486F38"/>
    <w:rsid w:val="004879AB"/>
    <w:rsid w:val="00487E5A"/>
    <w:rsid w:val="004905E0"/>
    <w:rsid w:val="00491A23"/>
    <w:rsid w:val="00491B8A"/>
    <w:rsid w:val="00491BE6"/>
    <w:rsid w:val="00491DA7"/>
    <w:rsid w:val="00492085"/>
    <w:rsid w:val="00492B87"/>
    <w:rsid w:val="00492D10"/>
    <w:rsid w:val="00492D38"/>
    <w:rsid w:val="004946ED"/>
    <w:rsid w:val="00494EA1"/>
    <w:rsid w:val="004954E4"/>
    <w:rsid w:val="004954F5"/>
    <w:rsid w:val="004962E8"/>
    <w:rsid w:val="0049679A"/>
    <w:rsid w:val="0049719E"/>
    <w:rsid w:val="00497DAB"/>
    <w:rsid w:val="004A01B2"/>
    <w:rsid w:val="004A024B"/>
    <w:rsid w:val="004A053B"/>
    <w:rsid w:val="004A0853"/>
    <w:rsid w:val="004A119D"/>
    <w:rsid w:val="004A1859"/>
    <w:rsid w:val="004A19FC"/>
    <w:rsid w:val="004A2048"/>
    <w:rsid w:val="004A2183"/>
    <w:rsid w:val="004A2CF0"/>
    <w:rsid w:val="004A42C1"/>
    <w:rsid w:val="004A464A"/>
    <w:rsid w:val="004A5031"/>
    <w:rsid w:val="004A599E"/>
    <w:rsid w:val="004A5B71"/>
    <w:rsid w:val="004A61D5"/>
    <w:rsid w:val="004A67A2"/>
    <w:rsid w:val="004A6B8C"/>
    <w:rsid w:val="004A6EB0"/>
    <w:rsid w:val="004A70FF"/>
    <w:rsid w:val="004A7987"/>
    <w:rsid w:val="004A7A1E"/>
    <w:rsid w:val="004A7B62"/>
    <w:rsid w:val="004A7ED3"/>
    <w:rsid w:val="004B0323"/>
    <w:rsid w:val="004B07E9"/>
    <w:rsid w:val="004B18CC"/>
    <w:rsid w:val="004B2B5F"/>
    <w:rsid w:val="004B3083"/>
    <w:rsid w:val="004B311A"/>
    <w:rsid w:val="004B33D6"/>
    <w:rsid w:val="004B393C"/>
    <w:rsid w:val="004B421D"/>
    <w:rsid w:val="004B5003"/>
    <w:rsid w:val="004B6FDB"/>
    <w:rsid w:val="004B716E"/>
    <w:rsid w:val="004B722B"/>
    <w:rsid w:val="004B7258"/>
    <w:rsid w:val="004B7E76"/>
    <w:rsid w:val="004C02B8"/>
    <w:rsid w:val="004C178F"/>
    <w:rsid w:val="004C1DFA"/>
    <w:rsid w:val="004C28A6"/>
    <w:rsid w:val="004C2FCF"/>
    <w:rsid w:val="004C32EE"/>
    <w:rsid w:val="004C4F04"/>
    <w:rsid w:val="004C52A8"/>
    <w:rsid w:val="004C553F"/>
    <w:rsid w:val="004C6A83"/>
    <w:rsid w:val="004C6ACC"/>
    <w:rsid w:val="004C76F6"/>
    <w:rsid w:val="004C7AFA"/>
    <w:rsid w:val="004D0A07"/>
    <w:rsid w:val="004D0B24"/>
    <w:rsid w:val="004D1241"/>
    <w:rsid w:val="004D17E3"/>
    <w:rsid w:val="004D31E1"/>
    <w:rsid w:val="004D7920"/>
    <w:rsid w:val="004D7ABC"/>
    <w:rsid w:val="004E16C9"/>
    <w:rsid w:val="004E1BD6"/>
    <w:rsid w:val="004E3624"/>
    <w:rsid w:val="004E4E63"/>
    <w:rsid w:val="004E4F1A"/>
    <w:rsid w:val="004E56F3"/>
    <w:rsid w:val="004E6135"/>
    <w:rsid w:val="004F039C"/>
    <w:rsid w:val="004F0F9D"/>
    <w:rsid w:val="004F10C1"/>
    <w:rsid w:val="004F161F"/>
    <w:rsid w:val="004F1AD9"/>
    <w:rsid w:val="004F2449"/>
    <w:rsid w:val="004F245E"/>
    <w:rsid w:val="004F2B57"/>
    <w:rsid w:val="004F2C77"/>
    <w:rsid w:val="004F2F5F"/>
    <w:rsid w:val="004F2FEF"/>
    <w:rsid w:val="004F3AB0"/>
    <w:rsid w:val="004F3B88"/>
    <w:rsid w:val="004F3E70"/>
    <w:rsid w:val="004F400C"/>
    <w:rsid w:val="004F4037"/>
    <w:rsid w:val="004F40C6"/>
    <w:rsid w:val="004F5581"/>
    <w:rsid w:val="004F641B"/>
    <w:rsid w:val="004F6F14"/>
    <w:rsid w:val="004F7C2F"/>
    <w:rsid w:val="005009C6"/>
    <w:rsid w:val="00500B0C"/>
    <w:rsid w:val="00500CB4"/>
    <w:rsid w:val="0050114B"/>
    <w:rsid w:val="005016B1"/>
    <w:rsid w:val="00501DF6"/>
    <w:rsid w:val="0050205C"/>
    <w:rsid w:val="00503C31"/>
    <w:rsid w:val="00504305"/>
    <w:rsid w:val="00505350"/>
    <w:rsid w:val="0050582C"/>
    <w:rsid w:val="0050683C"/>
    <w:rsid w:val="0050756E"/>
    <w:rsid w:val="0050787A"/>
    <w:rsid w:val="00507B29"/>
    <w:rsid w:val="00510B54"/>
    <w:rsid w:val="005112E9"/>
    <w:rsid w:val="00511889"/>
    <w:rsid w:val="00511C4C"/>
    <w:rsid w:val="005135E3"/>
    <w:rsid w:val="00515B88"/>
    <w:rsid w:val="00515C45"/>
    <w:rsid w:val="00515E09"/>
    <w:rsid w:val="00516A58"/>
    <w:rsid w:val="00516D8A"/>
    <w:rsid w:val="005178B6"/>
    <w:rsid w:val="005200F0"/>
    <w:rsid w:val="0052213C"/>
    <w:rsid w:val="00522267"/>
    <w:rsid w:val="00522875"/>
    <w:rsid w:val="00522BE9"/>
    <w:rsid w:val="00523494"/>
    <w:rsid w:val="00523619"/>
    <w:rsid w:val="00523758"/>
    <w:rsid w:val="0052376C"/>
    <w:rsid w:val="00523D42"/>
    <w:rsid w:val="00523ED2"/>
    <w:rsid w:val="0052410C"/>
    <w:rsid w:val="0052462D"/>
    <w:rsid w:val="00524844"/>
    <w:rsid w:val="00524A6F"/>
    <w:rsid w:val="00525869"/>
    <w:rsid w:val="00526EB9"/>
    <w:rsid w:val="0052768F"/>
    <w:rsid w:val="005276E6"/>
    <w:rsid w:val="00527919"/>
    <w:rsid w:val="00527CD4"/>
    <w:rsid w:val="005308A3"/>
    <w:rsid w:val="005309AD"/>
    <w:rsid w:val="0053105B"/>
    <w:rsid w:val="00533550"/>
    <w:rsid w:val="00533F56"/>
    <w:rsid w:val="00534681"/>
    <w:rsid w:val="00534D7B"/>
    <w:rsid w:val="00535988"/>
    <w:rsid w:val="00535EDC"/>
    <w:rsid w:val="00536332"/>
    <w:rsid w:val="0053767B"/>
    <w:rsid w:val="0053784D"/>
    <w:rsid w:val="00537BD3"/>
    <w:rsid w:val="00537BD7"/>
    <w:rsid w:val="00537FD7"/>
    <w:rsid w:val="00540052"/>
    <w:rsid w:val="005403CE"/>
    <w:rsid w:val="00540EC7"/>
    <w:rsid w:val="00540F7E"/>
    <w:rsid w:val="00542F15"/>
    <w:rsid w:val="00542F1E"/>
    <w:rsid w:val="00543CA5"/>
    <w:rsid w:val="00543E07"/>
    <w:rsid w:val="0054503D"/>
    <w:rsid w:val="005460AC"/>
    <w:rsid w:val="005465EB"/>
    <w:rsid w:val="005468E2"/>
    <w:rsid w:val="00547A0C"/>
    <w:rsid w:val="005500F5"/>
    <w:rsid w:val="0055026C"/>
    <w:rsid w:val="00550539"/>
    <w:rsid w:val="00550D3F"/>
    <w:rsid w:val="00550FAA"/>
    <w:rsid w:val="00551306"/>
    <w:rsid w:val="00551C30"/>
    <w:rsid w:val="00551D89"/>
    <w:rsid w:val="00552107"/>
    <w:rsid w:val="00552414"/>
    <w:rsid w:val="00552440"/>
    <w:rsid w:val="005528A2"/>
    <w:rsid w:val="005529EF"/>
    <w:rsid w:val="00552E6A"/>
    <w:rsid w:val="00552F00"/>
    <w:rsid w:val="00552F65"/>
    <w:rsid w:val="00553025"/>
    <w:rsid w:val="00553794"/>
    <w:rsid w:val="00555AD4"/>
    <w:rsid w:val="00555AFF"/>
    <w:rsid w:val="00556F41"/>
    <w:rsid w:val="00557542"/>
    <w:rsid w:val="00557D7C"/>
    <w:rsid w:val="00560920"/>
    <w:rsid w:val="00560FF7"/>
    <w:rsid w:val="005618D2"/>
    <w:rsid w:val="0056248B"/>
    <w:rsid w:val="0056268F"/>
    <w:rsid w:val="00563C21"/>
    <w:rsid w:val="00563F95"/>
    <w:rsid w:val="00564DFA"/>
    <w:rsid w:val="00564E12"/>
    <w:rsid w:val="0056510E"/>
    <w:rsid w:val="00565954"/>
    <w:rsid w:val="005659E6"/>
    <w:rsid w:val="00565F80"/>
    <w:rsid w:val="00566FFF"/>
    <w:rsid w:val="005708A0"/>
    <w:rsid w:val="00571102"/>
    <w:rsid w:val="00571BD8"/>
    <w:rsid w:val="00572895"/>
    <w:rsid w:val="00572D26"/>
    <w:rsid w:val="0057379E"/>
    <w:rsid w:val="00573F11"/>
    <w:rsid w:val="00573F1D"/>
    <w:rsid w:val="0057442D"/>
    <w:rsid w:val="00574E10"/>
    <w:rsid w:val="00574EB4"/>
    <w:rsid w:val="00575936"/>
    <w:rsid w:val="00576A53"/>
    <w:rsid w:val="00576F4F"/>
    <w:rsid w:val="00577751"/>
    <w:rsid w:val="00581489"/>
    <w:rsid w:val="00581511"/>
    <w:rsid w:val="0058159F"/>
    <w:rsid w:val="00581743"/>
    <w:rsid w:val="00582411"/>
    <w:rsid w:val="0058298A"/>
    <w:rsid w:val="005836CE"/>
    <w:rsid w:val="005860B8"/>
    <w:rsid w:val="00586D06"/>
    <w:rsid w:val="00586FAA"/>
    <w:rsid w:val="0058755C"/>
    <w:rsid w:val="00587935"/>
    <w:rsid w:val="00587AE9"/>
    <w:rsid w:val="00587ED5"/>
    <w:rsid w:val="005903DE"/>
    <w:rsid w:val="005924EA"/>
    <w:rsid w:val="00593E6A"/>
    <w:rsid w:val="00593FE2"/>
    <w:rsid w:val="00595B61"/>
    <w:rsid w:val="00595E26"/>
    <w:rsid w:val="00595F0B"/>
    <w:rsid w:val="00596B7E"/>
    <w:rsid w:val="00597AAF"/>
    <w:rsid w:val="00597E0A"/>
    <w:rsid w:val="005A088B"/>
    <w:rsid w:val="005A0BEC"/>
    <w:rsid w:val="005A0E28"/>
    <w:rsid w:val="005A1107"/>
    <w:rsid w:val="005A122D"/>
    <w:rsid w:val="005A135B"/>
    <w:rsid w:val="005A14DB"/>
    <w:rsid w:val="005A344C"/>
    <w:rsid w:val="005A42AC"/>
    <w:rsid w:val="005A45A4"/>
    <w:rsid w:val="005A49AE"/>
    <w:rsid w:val="005A4B18"/>
    <w:rsid w:val="005A553F"/>
    <w:rsid w:val="005A5567"/>
    <w:rsid w:val="005A57C4"/>
    <w:rsid w:val="005A67AA"/>
    <w:rsid w:val="005B010B"/>
    <w:rsid w:val="005B035C"/>
    <w:rsid w:val="005B0366"/>
    <w:rsid w:val="005B05CD"/>
    <w:rsid w:val="005B0F84"/>
    <w:rsid w:val="005B18F9"/>
    <w:rsid w:val="005B22A3"/>
    <w:rsid w:val="005B2418"/>
    <w:rsid w:val="005B242A"/>
    <w:rsid w:val="005B24E7"/>
    <w:rsid w:val="005B288E"/>
    <w:rsid w:val="005B3B52"/>
    <w:rsid w:val="005B4851"/>
    <w:rsid w:val="005B60C2"/>
    <w:rsid w:val="005B6784"/>
    <w:rsid w:val="005B6E2A"/>
    <w:rsid w:val="005B6EC6"/>
    <w:rsid w:val="005B7939"/>
    <w:rsid w:val="005C0780"/>
    <w:rsid w:val="005C08C4"/>
    <w:rsid w:val="005C1096"/>
    <w:rsid w:val="005C1BD6"/>
    <w:rsid w:val="005C1C2C"/>
    <w:rsid w:val="005C34D9"/>
    <w:rsid w:val="005C356E"/>
    <w:rsid w:val="005C4909"/>
    <w:rsid w:val="005C56A9"/>
    <w:rsid w:val="005C59A4"/>
    <w:rsid w:val="005C5A3E"/>
    <w:rsid w:val="005C5BC3"/>
    <w:rsid w:val="005C5D66"/>
    <w:rsid w:val="005C65F2"/>
    <w:rsid w:val="005C6B36"/>
    <w:rsid w:val="005C6BFF"/>
    <w:rsid w:val="005C7407"/>
    <w:rsid w:val="005C76D3"/>
    <w:rsid w:val="005D0096"/>
    <w:rsid w:val="005D0987"/>
    <w:rsid w:val="005D104B"/>
    <w:rsid w:val="005D2191"/>
    <w:rsid w:val="005D21E3"/>
    <w:rsid w:val="005D300C"/>
    <w:rsid w:val="005D3051"/>
    <w:rsid w:val="005D34D3"/>
    <w:rsid w:val="005D455D"/>
    <w:rsid w:val="005D4FE1"/>
    <w:rsid w:val="005D5C2E"/>
    <w:rsid w:val="005D5C82"/>
    <w:rsid w:val="005D64C7"/>
    <w:rsid w:val="005D78ED"/>
    <w:rsid w:val="005D79C2"/>
    <w:rsid w:val="005D7B67"/>
    <w:rsid w:val="005E0701"/>
    <w:rsid w:val="005E12B1"/>
    <w:rsid w:val="005E16C5"/>
    <w:rsid w:val="005E17EB"/>
    <w:rsid w:val="005E28A0"/>
    <w:rsid w:val="005E2A1D"/>
    <w:rsid w:val="005E2E94"/>
    <w:rsid w:val="005E3920"/>
    <w:rsid w:val="005E54A5"/>
    <w:rsid w:val="005E5D94"/>
    <w:rsid w:val="005E6A36"/>
    <w:rsid w:val="005E6F6D"/>
    <w:rsid w:val="005F0329"/>
    <w:rsid w:val="005F039E"/>
    <w:rsid w:val="005F0ED7"/>
    <w:rsid w:val="005F19FE"/>
    <w:rsid w:val="005F1EE5"/>
    <w:rsid w:val="005F2E04"/>
    <w:rsid w:val="005F31CB"/>
    <w:rsid w:val="005F31D0"/>
    <w:rsid w:val="005F3412"/>
    <w:rsid w:val="005F3955"/>
    <w:rsid w:val="005F6443"/>
    <w:rsid w:val="005F6E9A"/>
    <w:rsid w:val="005F6F73"/>
    <w:rsid w:val="005F70AE"/>
    <w:rsid w:val="006003D1"/>
    <w:rsid w:val="00600D2E"/>
    <w:rsid w:val="00600FAC"/>
    <w:rsid w:val="0060135B"/>
    <w:rsid w:val="006016C2"/>
    <w:rsid w:val="00602088"/>
    <w:rsid w:val="00602AE1"/>
    <w:rsid w:val="0060315A"/>
    <w:rsid w:val="00603557"/>
    <w:rsid w:val="00603B4C"/>
    <w:rsid w:val="00604010"/>
    <w:rsid w:val="00604288"/>
    <w:rsid w:val="00604561"/>
    <w:rsid w:val="00604581"/>
    <w:rsid w:val="00604928"/>
    <w:rsid w:val="0060527F"/>
    <w:rsid w:val="00605625"/>
    <w:rsid w:val="00607887"/>
    <w:rsid w:val="00607D3B"/>
    <w:rsid w:val="006104A7"/>
    <w:rsid w:val="00611F6B"/>
    <w:rsid w:val="00612892"/>
    <w:rsid w:val="00613404"/>
    <w:rsid w:val="00613472"/>
    <w:rsid w:val="00613A10"/>
    <w:rsid w:val="006152D2"/>
    <w:rsid w:val="00615BE3"/>
    <w:rsid w:val="0061699E"/>
    <w:rsid w:val="006175B3"/>
    <w:rsid w:val="0061762D"/>
    <w:rsid w:val="00617B1A"/>
    <w:rsid w:val="00617C55"/>
    <w:rsid w:val="0062026D"/>
    <w:rsid w:val="006206E7"/>
    <w:rsid w:val="006211BD"/>
    <w:rsid w:val="006211C6"/>
    <w:rsid w:val="00621853"/>
    <w:rsid w:val="0062240A"/>
    <w:rsid w:val="00623481"/>
    <w:rsid w:val="0062350E"/>
    <w:rsid w:val="00623584"/>
    <w:rsid w:val="00624232"/>
    <w:rsid w:val="00624F25"/>
    <w:rsid w:val="00625128"/>
    <w:rsid w:val="0062554D"/>
    <w:rsid w:val="006255C3"/>
    <w:rsid w:val="00626100"/>
    <w:rsid w:val="00626F95"/>
    <w:rsid w:val="006271F6"/>
    <w:rsid w:val="00630324"/>
    <w:rsid w:val="00630520"/>
    <w:rsid w:val="0063126E"/>
    <w:rsid w:val="00631B79"/>
    <w:rsid w:val="00632120"/>
    <w:rsid w:val="0063214E"/>
    <w:rsid w:val="006323E5"/>
    <w:rsid w:val="006325E3"/>
    <w:rsid w:val="0063275C"/>
    <w:rsid w:val="006332B5"/>
    <w:rsid w:val="006333F4"/>
    <w:rsid w:val="00634125"/>
    <w:rsid w:val="0063433F"/>
    <w:rsid w:val="00634471"/>
    <w:rsid w:val="00634B7D"/>
    <w:rsid w:val="006358DE"/>
    <w:rsid w:val="006363BF"/>
    <w:rsid w:val="00636502"/>
    <w:rsid w:val="00637130"/>
    <w:rsid w:val="00637A26"/>
    <w:rsid w:val="00637CC7"/>
    <w:rsid w:val="006404D0"/>
    <w:rsid w:val="00640CA7"/>
    <w:rsid w:val="006415BD"/>
    <w:rsid w:val="00641F34"/>
    <w:rsid w:val="00642013"/>
    <w:rsid w:val="00644865"/>
    <w:rsid w:val="006468C2"/>
    <w:rsid w:val="00646F44"/>
    <w:rsid w:val="0064714F"/>
    <w:rsid w:val="00647A46"/>
    <w:rsid w:val="00647E98"/>
    <w:rsid w:val="00647F17"/>
    <w:rsid w:val="006500FA"/>
    <w:rsid w:val="006504D1"/>
    <w:rsid w:val="006507BF"/>
    <w:rsid w:val="00650A81"/>
    <w:rsid w:val="00650B42"/>
    <w:rsid w:val="00650B4E"/>
    <w:rsid w:val="00650B84"/>
    <w:rsid w:val="00650D78"/>
    <w:rsid w:val="00651054"/>
    <w:rsid w:val="006522FF"/>
    <w:rsid w:val="006523DF"/>
    <w:rsid w:val="00652B94"/>
    <w:rsid w:val="00652CAE"/>
    <w:rsid w:val="00652CB8"/>
    <w:rsid w:val="00653924"/>
    <w:rsid w:val="00653EB7"/>
    <w:rsid w:val="00654692"/>
    <w:rsid w:val="00654DB5"/>
    <w:rsid w:val="00655858"/>
    <w:rsid w:val="00655B3B"/>
    <w:rsid w:val="00655C48"/>
    <w:rsid w:val="00656284"/>
    <w:rsid w:val="00656697"/>
    <w:rsid w:val="00656B76"/>
    <w:rsid w:val="00657866"/>
    <w:rsid w:val="00657DFA"/>
    <w:rsid w:val="00657F0D"/>
    <w:rsid w:val="00661BDD"/>
    <w:rsid w:val="00662A10"/>
    <w:rsid w:val="00662AC0"/>
    <w:rsid w:val="00662C83"/>
    <w:rsid w:val="0066336F"/>
    <w:rsid w:val="00663EA7"/>
    <w:rsid w:val="00664590"/>
    <w:rsid w:val="00664639"/>
    <w:rsid w:val="00664B74"/>
    <w:rsid w:val="00664F16"/>
    <w:rsid w:val="0066531C"/>
    <w:rsid w:val="00665559"/>
    <w:rsid w:val="006655D2"/>
    <w:rsid w:val="00665CCA"/>
    <w:rsid w:val="0066615B"/>
    <w:rsid w:val="0066625F"/>
    <w:rsid w:val="006664B1"/>
    <w:rsid w:val="006675D9"/>
    <w:rsid w:val="00667E66"/>
    <w:rsid w:val="006700E0"/>
    <w:rsid w:val="00670C75"/>
    <w:rsid w:val="00671BE4"/>
    <w:rsid w:val="006727F8"/>
    <w:rsid w:val="0067313D"/>
    <w:rsid w:val="00673720"/>
    <w:rsid w:val="00673A50"/>
    <w:rsid w:val="00673C90"/>
    <w:rsid w:val="00673D9A"/>
    <w:rsid w:val="0067440B"/>
    <w:rsid w:val="00675197"/>
    <w:rsid w:val="00675786"/>
    <w:rsid w:val="006772B1"/>
    <w:rsid w:val="006776B6"/>
    <w:rsid w:val="00677870"/>
    <w:rsid w:val="00677B10"/>
    <w:rsid w:val="00677B46"/>
    <w:rsid w:val="00680562"/>
    <w:rsid w:val="006807B2"/>
    <w:rsid w:val="00683152"/>
    <w:rsid w:val="006849FE"/>
    <w:rsid w:val="00684E7F"/>
    <w:rsid w:val="006855FC"/>
    <w:rsid w:val="0068571A"/>
    <w:rsid w:val="00685BF1"/>
    <w:rsid w:val="00686F0B"/>
    <w:rsid w:val="00687E5D"/>
    <w:rsid w:val="00690D0C"/>
    <w:rsid w:val="00691389"/>
    <w:rsid w:val="00692046"/>
    <w:rsid w:val="00692512"/>
    <w:rsid w:val="00692535"/>
    <w:rsid w:val="0069253A"/>
    <w:rsid w:val="006927E7"/>
    <w:rsid w:val="00692B97"/>
    <w:rsid w:val="00693450"/>
    <w:rsid w:val="00693B1F"/>
    <w:rsid w:val="00693C8F"/>
    <w:rsid w:val="0069437B"/>
    <w:rsid w:val="00694A7F"/>
    <w:rsid w:val="00694C71"/>
    <w:rsid w:val="00695F7B"/>
    <w:rsid w:val="00696764"/>
    <w:rsid w:val="00696AB5"/>
    <w:rsid w:val="00696F5A"/>
    <w:rsid w:val="00696FFD"/>
    <w:rsid w:val="0069743A"/>
    <w:rsid w:val="006977D8"/>
    <w:rsid w:val="006977E4"/>
    <w:rsid w:val="006A0663"/>
    <w:rsid w:val="006A06D8"/>
    <w:rsid w:val="006A0F56"/>
    <w:rsid w:val="006A2061"/>
    <w:rsid w:val="006A27FA"/>
    <w:rsid w:val="006A2F14"/>
    <w:rsid w:val="006A4257"/>
    <w:rsid w:val="006A43C1"/>
    <w:rsid w:val="006A43E5"/>
    <w:rsid w:val="006A4ABC"/>
    <w:rsid w:val="006A539A"/>
    <w:rsid w:val="006A599E"/>
    <w:rsid w:val="006A5B52"/>
    <w:rsid w:val="006A65E3"/>
    <w:rsid w:val="006A66BD"/>
    <w:rsid w:val="006A66FF"/>
    <w:rsid w:val="006A6BFC"/>
    <w:rsid w:val="006A7A8E"/>
    <w:rsid w:val="006B0147"/>
    <w:rsid w:val="006B0459"/>
    <w:rsid w:val="006B0D0F"/>
    <w:rsid w:val="006B119D"/>
    <w:rsid w:val="006B1302"/>
    <w:rsid w:val="006B2374"/>
    <w:rsid w:val="006B2703"/>
    <w:rsid w:val="006B3A91"/>
    <w:rsid w:val="006B4A8F"/>
    <w:rsid w:val="006B50C2"/>
    <w:rsid w:val="006B5871"/>
    <w:rsid w:val="006B5F48"/>
    <w:rsid w:val="006B6127"/>
    <w:rsid w:val="006B684B"/>
    <w:rsid w:val="006B7150"/>
    <w:rsid w:val="006B7837"/>
    <w:rsid w:val="006B799F"/>
    <w:rsid w:val="006C0C1B"/>
    <w:rsid w:val="006C0C29"/>
    <w:rsid w:val="006C10ED"/>
    <w:rsid w:val="006C1D00"/>
    <w:rsid w:val="006C237B"/>
    <w:rsid w:val="006C3077"/>
    <w:rsid w:val="006C378C"/>
    <w:rsid w:val="006C3A8F"/>
    <w:rsid w:val="006C3C5A"/>
    <w:rsid w:val="006C5036"/>
    <w:rsid w:val="006C5250"/>
    <w:rsid w:val="006C5B5D"/>
    <w:rsid w:val="006C60B1"/>
    <w:rsid w:val="006C7236"/>
    <w:rsid w:val="006D065E"/>
    <w:rsid w:val="006D0DC3"/>
    <w:rsid w:val="006D28AA"/>
    <w:rsid w:val="006D3360"/>
    <w:rsid w:val="006D38D3"/>
    <w:rsid w:val="006D537A"/>
    <w:rsid w:val="006D5416"/>
    <w:rsid w:val="006D5726"/>
    <w:rsid w:val="006D6746"/>
    <w:rsid w:val="006D6FE2"/>
    <w:rsid w:val="006D785E"/>
    <w:rsid w:val="006E019A"/>
    <w:rsid w:val="006E04E9"/>
    <w:rsid w:val="006E1261"/>
    <w:rsid w:val="006E268E"/>
    <w:rsid w:val="006E3588"/>
    <w:rsid w:val="006E4D73"/>
    <w:rsid w:val="006E4E8D"/>
    <w:rsid w:val="006E4FB0"/>
    <w:rsid w:val="006E5136"/>
    <w:rsid w:val="006E5E6E"/>
    <w:rsid w:val="006E679B"/>
    <w:rsid w:val="006F0781"/>
    <w:rsid w:val="006F1E95"/>
    <w:rsid w:val="006F2288"/>
    <w:rsid w:val="006F22F3"/>
    <w:rsid w:val="006F302F"/>
    <w:rsid w:val="006F37C1"/>
    <w:rsid w:val="006F3DE0"/>
    <w:rsid w:val="006F406A"/>
    <w:rsid w:val="006F449C"/>
    <w:rsid w:val="006F550C"/>
    <w:rsid w:val="006F6B7C"/>
    <w:rsid w:val="006F727A"/>
    <w:rsid w:val="006F73F9"/>
    <w:rsid w:val="006F7F92"/>
    <w:rsid w:val="00700A87"/>
    <w:rsid w:val="00700E11"/>
    <w:rsid w:val="007016EE"/>
    <w:rsid w:val="00701BB9"/>
    <w:rsid w:val="0070202B"/>
    <w:rsid w:val="0070202C"/>
    <w:rsid w:val="00702B1D"/>
    <w:rsid w:val="00704EAB"/>
    <w:rsid w:val="00705A2D"/>
    <w:rsid w:val="00706C4F"/>
    <w:rsid w:val="00706CDF"/>
    <w:rsid w:val="0070778F"/>
    <w:rsid w:val="00711DC8"/>
    <w:rsid w:val="00712905"/>
    <w:rsid w:val="0071298F"/>
    <w:rsid w:val="007130C6"/>
    <w:rsid w:val="00713E84"/>
    <w:rsid w:val="007142B2"/>
    <w:rsid w:val="007148BB"/>
    <w:rsid w:val="00715C6C"/>
    <w:rsid w:val="00716569"/>
    <w:rsid w:val="00716D71"/>
    <w:rsid w:val="007171A3"/>
    <w:rsid w:val="0071765B"/>
    <w:rsid w:val="007179AE"/>
    <w:rsid w:val="00717A82"/>
    <w:rsid w:val="00721B8E"/>
    <w:rsid w:val="00722265"/>
    <w:rsid w:val="00722C69"/>
    <w:rsid w:val="0072519B"/>
    <w:rsid w:val="00726014"/>
    <w:rsid w:val="00726C84"/>
    <w:rsid w:val="007302FF"/>
    <w:rsid w:val="00730F04"/>
    <w:rsid w:val="00731D20"/>
    <w:rsid w:val="00731DED"/>
    <w:rsid w:val="00731EC7"/>
    <w:rsid w:val="0073237B"/>
    <w:rsid w:val="007329C5"/>
    <w:rsid w:val="00732DAA"/>
    <w:rsid w:val="00733F29"/>
    <w:rsid w:val="007342F7"/>
    <w:rsid w:val="007349CA"/>
    <w:rsid w:val="00735E55"/>
    <w:rsid w:val="00736691"/>
    <w:rsid w:val="00736F80"/>
    <w:rsid w:val="00737B2E"/>
    <w:rsid w:val="00740486"/>
    <w:rsid w:val="007414D2"/>
    <w:rsid w:val="00741F66"/>
    <w:rsid w:val="00742A27"/>
    <w:rsid w:val="007438EA"/>
    <w:rsid w:val="00743EE3"/>
    <w:rsid w:val="00744DCC"/>
    <w:rsid w:val="007457CE"/>
    <w:rsid w:val="00745850"/>
    <w:rsid w:val="00750938"/>
    <w:rsid w:val="007517B7"/>
    <w:rsid w:val="007518B0"/>
    <w:rsid w:val="00751A50"/>
    <w:rsid w:val="007528CA"/>
    <w:rsid w:val="0075383F"/>
    <w:rsid w:val="007541DD"/>
    <w:rsid w:val="0075497D"/>
    <w:rsid w:val="00754B51"/>
    <w:rsid w:val="00755E87"/>
    <w:rsid w:val="00756090"/>
    <w:rsid w:val="00756E70"/>
    <w:rsid w:val="007574D2"/>
    <w:rsid w:val="00757571"/>
    <w:rsid w:val="00757720"/>
    <w:rsid w:val="00760182"/>
    <w:rsid w:val="00760BCA"/>
    <w:rsid w:val="00760CC2"/>
    <w:rsid w:val="00760F17"/>
    <w:rsid w:val="007613D6"/>
    <w:rsid w:val="00761562"/>
    <w:rsid w:val="00762B6E"/>
    <w:rsid w:val="00762CAE"/>
    <w:rsid w:val="0076318C"/>
    <w:rsid w:val="0076335E"/>
    <w:rsid w:val="00763B4F"/>
    <w:rsid w:val="007640E2"/>
    <w:rsid w:val="00764984"/>
    <w:rsid w:val="007661FA"/>
    <w:rsid w:val="007671C9"/>
    <w:rsid w:val="00770F78"/>
    <w:rsid w:val="00771D43"/>
    <w:rsid w:val="00771FF7"/>
    <w:rsid w:val="007729AD"/>
    <w:rsid w:val="00772E29"/>
    <w:rsid w:val="00773BC6"/>
    <w:rsid w:val="00773DAE"/>
    <w:rsid w:val="007754CB"/>
    <w:rsid w:val="00775828"/>
    <w:rsid w:val="00775B87"/>
    <w:rsid w:val="00776185"/>
    <w:rsid w:val="007767E6"/>
    <w:rsid w:val="00777000"/>
    <w:rsid w:val="007774D6"/>
    <w:rsid w:val="0078159C"/>
    <w:rsid w:val="007818AE"/>
    <w:rsid w:val="00781BA6"/>
    <w:rsid w:val="0078282C"/>
    <w:rsid w:val="00782C6A"/>
    <w:rsid w:val="00783D28"/>
    <w:rsid w:val="00783D66"/>
    <w:rsid w:val="00783E8C"/>
    <w:rsid w:val="007849C8"/>
    <w:rsid w:val="00784BAB"/>
    <w:rsid w:val="00784CB2"/>
    <w:rsid w:val="00785B74"/>
    <w:rsid w:val="00787502"/>
    <w:rsid w:val="00787A9F"/>
    <w:rsid w:val="0079090C"/>
    <w:rsid w:val="00791835"/>
    <w:rsid w:val="0079293F"/>
    <w:rsid w:val="00793F30"/>
    <w:rsid w:val="0079478F"/>
    <w:rsid w:val="00796A33"/>
    <w:rsid w:val="00796C2F"/>
    <w:rsid w:val="007970C8"/>
    <w:rsid w:val="00797254"/>
    <w:rsid w:val="007979A4"/>
    <w:rsid w:val="00797C07"/>
    <w:rsid w:val="007A0B10"/>
    <w:rsid w:val="007A0DAA"/>
    <w:rsid w:val="007A105A"/>
    <w:rsid w:val="007A1424"/>
    <w:rsid w:val="007A195B"/>
    <w:rsid w:val="007A2E89"/>
    <w:rsid w:val="007A3136"/>
    <w:rsid w:val="007A4FD7"/>
    <w:rsid w:val="007A56EE"/>
    <w:rsid w:val="007A5907"/>
    <w:rsid w:val="007A67CC"/>
    <w:rsid w:val="007A6C3C"/>
    <w:rsid w:val="007A7137"/>
    <w:rsid w:val="007A7F78"/>
    <w:rsid w:val="007B00B7"/>
    <w:rsid w:val="007B01D7"/>
    <w:rsid w:val="007B01F6"/>
    <w:rsid w:val="007B0845"/>
    <w:rsid w:val="007B1096"/>
    <w:rsid w:val="007B2923"/>
    <w:rsid w:val="007B3116"/>
    <w:rsid w:val="007B38B9"/>
    <w:rsid w:val="007B3976"/>
    <w:rsid w:val="007B3CB7"/>
    <w:rsid w:val="007B3EEF"/>
    <w:rsid w:val="007B5246"/>
    <w:rsid w:val="007B54D5"/>
    <w:rsid w:val="007B5568"/>
    <w:rsid w:val="007B5BF0"/>
    <w:rsid w:val="007B61D5"/>
    <w:rsid w:val="007B7696"/>
    <w:rsid w:val="007B7ADE"/>
    <w:rsid w:val="007C0420"/>
    <w:rsid w:val="007C1BE9"/>
    <w:rsid w:val="007C1F2D"/>
    <w:rsid w:val="007C2111"/>
    <w:rsid w:val="007C28C8"/>
    <w:rsid w:val="007C370D"/>
    <w:rsid w:val="007C3AA2"/>
    <w:rsid w:val="007C3F0F"/>
    <w:rsid w:val="007C41E4"/>
    <w:rsid w:val="007C48CF"/>
    <w:rsid w:val="007C4A66"/>
    <w:rsid w:val="007C4B0B"/>
    <w:rsid w:val="007C58E7"/>
    <w:rsid w:val="007C5DFC"/>
    <w:rsid w:val="007C662B"/>
    <w:rsid w:val="007C6730"/>
    <w:rsid w:val="007D012C"/>
    <w:rsid w:val="007D0775"/>
    <w:rsid w:val="007D248F"/>
    <w:rsid w:val="007D2E87"/>
    <w:rsid w:val="007D2F41"/>
    <w:rsid w:val="007D30B8"/>
    <w:rsid w:val="007D4847"/>
    <w:rsid w:val="007D4CDC"/>
    <w:rsid w:val="007D5329"/>
    <w:rsid w:val="007D59C1"/>
    <w:rsid w:val="007D6053"/>
    <w:rsid w:val="007D7197"/>
    <w:rsid w:val="007E0F82"/>
    <w:rsid w:val="007E22C3"/>
    <w:rsid w:val="007E2D8A"/>
    <w:rsid w:val="007E2DA3"/>
    <w:rsid w:val="007E3B3F"/>
    <w:rsid w:val="007E3EC7"/>
    <w:rsid w:val="007E4DBA"/>
    <w:rsid w:val="007E4F14"/>
    <w:rsid w:val="007E552B"/>
    <w:rsid w:val="007E591A"/>
    <w:rsid w:val="007E61DE"/>
    <w:rsid w:val="007E6C7D"/>
    <w:rsid w:val="007E7587"/>
    <w:rsid w:val="007E7762"/>
    <w:rsid w:val="007F0447"/>
    <w:rsid w:val="007F0584"/>
    <w:rsid w:val="007F05D0"/>
    <w:rsid w:val="007F163C"/>
    <w:rsid w:val="007F1A96"/>
    <w:rsid w:val="007F1C5A"/>
    <w:rsid w:val="007F1CD0"/>
    <w:rsid w:val="007F2E84"/>
    <w:rsid w:val="007F3F52"/>
    <w:rsid w:val="007F4716"/>
    <w:rsid w:val="007F4D01"/>
    <w:rsid w:val="007F4E45"/>
    <w:rsid w:val="007F5C5E"/>
    <w:rsid w:val="007F617F"/>
    <w:rsid w:val="007F64CF"/>
    <w:rsid w:val="007F6A46"/>
    <w:rsid w:val="007F6B11"/>
    <w:rsid w:val="007F7071"/>
    <w:rsid w:val="007F7548"/>
    <w:rsid w:val="007F7570"/>
    <w:rsid w:val="007F785B"/>
    <w:rsid w:val="007F7F3C"/>
    <w:rsid w:val="00800178"/>
    <w:rsid w:val="008001C3"/>
    <w:rsid w:val="00800402"/>
    <w:rsid w:val="0080061D"/>
    <w:rsid w:val="00800809"/>
    <w:rsid w:val="00800DE3"/>
    <w:rsid w:val="00801385"/>
    <w:rsid w:val="00801984"/>
    <w:rsid w:val="0080199B"/>
    <w:rsid w:val="00801B29"/>
    <w:rsid w:val="008023D5"/>
    <w:rsid w:val="0080257A"/>
    <w:rsid w:val="0080449E"/>
    <w:rsid w:val="008045B9"/>
    <w:rsid w:val="00804BAB"/>
    <w:rsid w:val="00804D2F"/>
    <w:rsid w:val="00804E3F"/>
    <w:rsid w:val="00805E21"/>
    <w:rsid w:val="00805EE0"/>
    <w:rsid w:val="00806258"/>
    <w:rsid w:val="008070AD"/>
    <w:rsid w:val="0081131F"/>
    <w:rsid w:val="008115D5"/>
    <w:rsid w:val="00811933"/>
    <w:rsid w:val="008125EA"/>
    <w:rsid w:val="008127FE"/>
    <w:rsid w:val="00812E26"/>
    <w:rsid w:val="00813339"/>
    <w:rsid w:val="00813421"/>
    <w:rsid w:val="00813C43"/>
    <w:rsid w:val="0081436A"/>
    <w:rsid w:val="00814476"/>
    <w:rsid w:val="00814CCE"/>
    <w:rsid w:val="0081501C"/>
    <w:rsid w:val="00815C8E"/>
    <w:rsid w:val="00815C9B"/>
    <w:rsid w:val="0081614A"/>
    <w:rsid w:val="008165F8"/>
    <w:rsid w:val="00816645"/>
    <w:rsid w:val="00816862"/>
    <w:rsid w:val="00816DCB"/>
    <w:rsid w:val="00817543"/>
    <w:rsid w:val="008204F0"/>
    <w:rsid w:val="00820BFB"/>
    <w:rsid w:val="00821F5B"/>
    <w:rsid w:val="008228A1"/>
    <w:rsid w:val="00822E8B"/>
    <w:rsid w:val="00822FCF"/>
    <w:rsid w:val="00823467"/>
    <w:rsid w:val="00824275"/>
    <w:rsid w:val="00824C68"/>
    <w:rsid w:val="008264A6"/>
    <w:rsid w:val="008276D9"/>
    <w:rsid w:val="0082791D"/>
    <w:rsid w:val="00830C77"/>
    <w:rsid w:val="00830EBB"/>
    <w:rsid w:val="00831980"/>
    <w:rsid w:val="00831ED1"/>
    <w:rsid w:val="00831F8A"/>
    <w:rsid w:val="008331CA"/>
    <w:rsid w:val="0083362A"/>
    <w:rsid w:val="00833CCC"/>
    <w:rsid w:val="00833F40"/>
    <w:rsid w:val="0083483B"/>
    <w:rsid w:val="00834CD8"/>
    <w:rsid w:val="00835A14"/>
    <w:rsid w:val="00835BE6"/>
    <w:rsid w:val="00835FC1"/>
    <w:rsid w:val="00836042"/>
    <w:rsid w:val="00836724"/>
    <w:rsid w:val="00836B92"/>
    <w:rsid w:val="008378EB"/>
    <w:rsid w:val="008412A9"/>
    <w:rsid w:val="008417CD"/>
    <w:rsid w:val="00842E64"/>
    <w:rsid w:val="00843BF2"/>
    <w:rsid w:val="00844919"/>
    <w:rsid w:val="008449E1"/>
    <w:rsid w:val="00845C63"/>
    <w:rsid w:val="0084665D"/>
    <w:rsid w:val="00846C3A"/>
    <w:rsid w:val="00846EBA"/>
    <w:rsid w:val="00847C3D"/>
    <w:rsid w:val="00850287"/>
    <w:rsid w:val="008508FA"/>
    <w:rsid w:val="00851034"/>
    <w:rsid w:val="008516F9"/>
    <w:rsid w:val="008520D4"/>
    <w:rsid w:val="008523C2"/>
    <w:rsid w:val="008528FA"/>
    <w:rsid w:val="00853465"/>
    <w:rsid w:val="008544A9"/>
    <w:rsid w:val="00854BD3"/>
    <w:rsid w:val="00854C9C"/>
    <w:rsid w:val="00855238"/>
    <w:rsid w:val="008552D7"/>
    <w:rsid w:val="008568B5"/>
    <w:rsid w:val="00856C0F"/>
    <w:rsid w:val="00856D9D"/>
    <w:rsid w:val="008574C1"/>
    <w:rsid w:val="008577F4"/>
    <w:rsid w:val="00857EB4"/>
    <w:rsid w:val="00857F86"/>
    <w:rsid w:val="0086121C"/>
    <w:rsid w:val="00861FB7"/>
    <w:rsid w:val="008631EA"/>
    <w:rsid w:val="00863B2D"/>
    <w:rsid w:val="00863D6A"/>
    <w:rsid w:val="0086435F"/>
    <w:rsid w:val="008648AD"/>
    <w:rsid w:val="008657C6"/>
    <w:rsid w:val="008659FC"/>
    <w:rsid w:val="00865CCA"/>
    <w:rsid w:val="00870768"/>
    <w:rsid w:val="0087084B"/>
    <w:rsid w:val="00870D28"/>
    <w:rsid w:val="00870E8F"/>
    <w:rsid w:val="00871AB1"/>
    <w:rsid w:val="0087296A"/>
    <w:rsid w:val="00872B28"/>
    <w:rsid w:val="00873A10"/>
    <w:rsid w:val="00873F15"/>
    <w:rsid w:val="0087572A"/>
    <w:rsid w:val="008759F8"/>
    <w:rsid w:val="00875DB2"/>
    <w:rsid w:val="008763BE"/>
    <w:rsid w:val="00876569"/>
    <w:rsid w:val="00880D2E"/>
    <w:rsid w:val="008814F9"/>
    <w:rsid w:val="00881603"/>
    <w:rsid w:val="00881BA3"/>
    <w:rsid w:val="00881C05"/>
    <w:rsid w:val="008827CA"/>
    <w:rsid w:val="008828EB"/>
    <w:rsid w:val="00884310"/>
    <w:rsid w:val="008851BA"/>
    <w:rsid w:val="00885B4C"/>
    <w:rsid w:val="00885C67"/>
    <w:rsid w:val="00885D0C"/>
    <w:rsid w:val="00886000"/>
    <w:rsid w:val="00886793"/>
    <w:rsid w:val="00886A8D"/>
    <w:rsid w:val="00890372"/>
    <w:rsid w:val="00891362"/>
    <w:rsid w:val="00891C24"/>
    <w:rsid w:val="00892540"/>
    <w:rsid w:val="008932A9"/>
    <w:rsid w:val="008949CF"/>
    <w:rsid w:val="00895C53"/>
    <w:rsid w:val="00895DA0"/>
    <w:rsid w:val="00897611"/>
    <w:rsid w:val="00897B00"/>
    <w:rsid w:val="00897C0D"/>
    <w:rsid w:val="008A0769"/>
    <w:rsid w:val="008A08B5"/>
    <w:rsid w:val="008A1BA9"/>
    <w:rsid w:val="008A1F04"/>
    <w:rsid w:val="008A31E1"/>
    <w:rsid w:val="008A369D"/>
    <w:rsid w:val="008A394E"/>
    <w:rsid w:val="008A3D94"/>
    <w:rsid w:val="008A5361"/>
    <w:rsid w:val="008A5975"/>
    <w:rsid w:val="008A5B15"/>
    <w:rsid w:val="008A65AF"/>
    <w:rsid w:val="008A6BDF"/>
    <w:rsid w:val="008A7A66"/>
    <w:rsid w:val="008A7FCF"/>
    <w:rsid w:val="008B0861"/>
    <w:rsid w:val="008B0FE2"/>
    <w:rsid w:val="008B1196"/>
    <w:rsid w:val="008B1887"/>
    <w:rsid w:val="008B3253"/>
    <w:rsid w:val="008B3B45"/>
    <w:rsid w:val="008B3BDB"/>
    <w:rsid w:val="008B3DD9"/>
    <w:rsid w:val="008B3FD8"/>
    <w:rsid w:val="008B4CE6"/>
    <w:rsid w:val="008B60A3"/>
    <w:rsid w:val="008B71F8"/>
    <w:rsid w:val="008B7C1B"/>
    <w:rsid w:val="008B7D5A"/>
    <w:rsid w:val="008C14FF"/>
    <w:rsid w:val="008C1794"/>
    <w:rsid w:val="008C1990"/>
    <w:rsid w:val="008C2C19"/>
    <w:rsid w:val="008C3B10"/>
    <w:rsid w:val="008C406D"/>
    <w:rsid w:val="008C46B2"/>
    <w:rsid w:val="008C5C91"/>
    <w:rsid w:val="008C5E5F"/>
    <w:rsid w:val="008C611B"/>
    <w:rsid w:val="008C711A"/>
    <w:rsid w:val="008D03AF"/>
    <w:rsid w:val="008D0A7C"/>
    <w:rsid w:val="008D1D97"/>
    <w:rsid w:val="008D2AC7"/>
    <w:rsid w:val="008D38B8"/>
    <w:rsid w:val="008D47D3"/>
    <w:rsid w:val="008D4A98"/>
    <w:rsid w:val="008D4F67"/>
    <w:rsid w:val="008D5126"/>
    <w:rsid w:val="008D5A6D"/>
    <w:rsid w:val="008D6457"/>
    <w:rsid w:val="008D7C86"/>
    <w:rsid w:val="008E0D1E"/>
    <w:rsid w:val="008E1802"/>
    <w:rsid w:val="008E2554"/>
    <w:rsid w:val="008E33F1"/>
    <w:rsid w:val="008E3A30"/>
    <w:rsid w:val="008E4261"/>
    <w:rsid w:val="008E48EF"/>
    <w:rsid w:val="008E4DEF"/>
    <w:rsid w:val="008E53BB"/>
    <w:rsid w:val="008E5530"/>
    <w:rsid w:val="008E5C2E"/>
    <w:rsid w:val="008E6C04"/>
    <w:rsid w:val="008E7120"/>
    <w:rsid w:val="008E7A64"/>
    <w:rsid w:val="008E7CFB"/>
    <w:rsid w:val="008E7DE4"/>
    <w:rsid w:val="008F0034"/>
    <w:rsid w:val="008F1078"/>
    <w:rsid w:val="008F1D1D"/>
    <w:rsid w:val="008F1FE3"/>
    <w:rsid w:val="008F20D6"/>
    <w:rsid w:val="008F2200"/>
    <w:rsid w:val="008F298A"/>
    <w:rsid w:val="008F2E5C"/>
    <w:rsid w:val="008F2F60"/>
    <w:rsid w:val="008F31E3"/>
    <w:rsid w:val="008F34EC"/>
    <w:rsid w:val="008F4338"/>
    <w:rsid w:val="008F440F"/>
    <w:rsid w:val="008F4D98"/>
    <w:rsid w:val="008F5D13"/>
    <w:rsid w:val="008F66BF"/>
    <w:rsid w:val="008F7710"/>
    <w:rsid w:val="00902237"/>
    <w:rsid w:val="00902297"/>
    <w:rsid w:val="009028A1"/>
    <w:rsid w:val="009028B3"/>
    <w:rsid w:val="00903190"/>
    <w:rsid w:val="00903B0E"/>
    <w:rsid w:val="00903C72"/>
    <w:rsid w:val="009040AE"/>
    <w:rsid w:val="00905718"/>
    <w:rsid w:val="00905B17"/>
    <w:rsid w:val="009062FA"/>
    <w:rsid w:val="00906884"/>
    <w:rsid w:val="00906DD6"/>
    <w:rsid w:val="00910222"/>
    <w:rsid w:val="00911C2E"/>
    <w:rsid w:val="00911CF1"/>
    <w:rsid w:val="00911D86"/>
    <w:rsid w:val="00912CD7"/>
    <w:rsid w:val="00912EC6"/>
    <w:rsid w:val="00913A71"/>
    <w:rsid w:val="0091468F"/>
    <w:rsid w:val="0091495C"/>
    <w:rsid w:val="00914AF7"/>
    <w:rsid w:val="00914C1F"/>
    <w:rsid w:val="00916521"/>
    <w:rsid w:val="00916809"/>
    <w:rsid w:val="0091707F"/>
    <w:rsid w:val="00917BC9"/>
    <w:rsid w:val="0092064C"/>
    <w:rsid w:val="009213AF"/>
    <w:rsid w:val="00922300"/>
    <w:rsid w:val="009229FE"/>
    <w:rsid w:val="00922F34"/>
    <w:rsid w:val="00924293"/>
    <w:rsid w:val="009244CB"/>
    <w:rsid w:val="00925652"/>
    <w:rsid w:val="009259E7"/>
    <w:rsid w:val="00926EEC"/>
    <w:rsid w:val="009272A0"/>
    <w:rsid w:val="00927F69"/>
    <w:rsid w:val="00930C85"/>
    <w:rsid w:val="00933807"/>
    <w:rsid w:val="00933828"/>
    <w:rsid w:val="00933A8F"/>
    <w:rsid w:val="00933B7B"/>
    <w:rsid w:val="00934201"/>
    <w:rsid w:val="00934277"/>
    <w:rsid w:val="009344E8"/>
    <w:rsid w:val="00934BB8"/>
    <w:rsid w:val="00935281"/>
    <w:rsid w:val="009359F2"/>
    <w:rsid w:val="0093635A"/>
    <w:rsid w:val="00936421"/>
    <w:rsid w:val="009367BF"/>
    <w:rsid w:val="009372FA"/>
    <w:rsid w:val="009405EC"/>
    <w:rsid w:val="00940F89"/>
    <w:rsid w:val="009413FD"/>
    <w:rsid w:val="0094399F"/>
    <w:rsid w:val="009439B0"/>
    <w:rsid w:val="00944600"/>
    <w:rsid w:val="0094466A"/>
    <w:rsid w:val="009450F8"/>
    <w:rsid w:val="009454A4"/>
    <w:rsid w:val="00945C1E"/>
    <w:rsid w:val="00947FFA"/>
    <w:rsid w:val="00950329"/>
    <w:rsid w:val="00950338"/>
    <w:rsid w:val="009507E9"/>
    <w:rsid w:val="00950957"/>
    <w:rsid w:val="00950A44"/>
    <w:rsid w:val="00950B36"/>
    <w:rsid w:val="00950ED4"/>
    <w:rsid w:val="009511B1"/>
    <w:rsid w:val="0095124C"/>
    <w:rsid w:val="00951281"/>
    <w:rsid w:val="00951AD7"/>
    <w:rsid w:val="009527EC"/>
    <w:rsid w:val="009532C9"/>
    <w:rsid w:val="00953765"/>
    <w:rsid w:val="00954CBD"/>
    <w:rsid w:val="00956364"/>
    <w:rsid w:val="00956E78"/>
    <w:rsid w:val="009577AB"/>
    <w:rsid w:val="009579F1"/>
    <w:rsid w:val="00957D45"/>
    <w:rsid w:val="00957F0C"/>
    <w:rsid w:val="00960D68"/>
    <w:rsid w:val="00961445"/>
    <w:rsid w:val="00961493"/>
    <w:rsid w:val="0096198B"/>
    <w:rsid w:val="00962534"/>
    <w:rsid w:val="009629CE"/>
    <w:rsid w:val="009630AE"/>
    <w:rsid w:val="00963A77"/>
    <w:rsid w:val="00965760"/>
    <w:rsid w:val="00965855"/>
    <w:rsid w:val="0096592E"/>
    <w:rsid w:val="00965AA1"/>
    <w:rsid w:val="00965C7F"/>
    <w:rsid w:val="009664F9"/>
    <w:rsid w:val="009670C9"/>
    <w:rsid w:val="00967FEA"/>
    <w:rsid w:val="009701D1"/>
    <w:rsid w:val="00970AF7"/>
    <w:rsid w:val="00971234"/>
    <w:rsid w:val="00971573"/>
    <w:rsid w:val="00971635"/>
    <w:rsid w:val="00971C03"/>
    <w:rsid w:val="009732C1"/>
    <w:rsid w:val="00974172"/>
    <w:rsid w:val="009743D1"/>
    <w:rsid w:val="00974676"/>
    <w:rsid w:val="00974F00"/>
    <w:rsid w:val="00975018"/>
    <w:rsid w:val="00975502"/>
    <w:rsid w:val="00975D78"/>
    <w:rsid w:val="00976159"/>
    <w:rsid w:val="00976862"/>
    <w:rsid w:val="009772CB"/>
    <w:rsid w:val="009772F5"/>
    <w:rsid w:val="009776FC"/>
    <w:rsid w:val="00980238"/>
    <w:rsid w:val="009811CD"/>
    <w:rsid w:val="00981D6C"/>
    <w:rsid w:val="00981ECD"/>
    <w:rsid w:val="00982B2D"/>
    <w:rsid w:val="00984B94"/>
    <w:rsid w:val="0098555E"/>
    <w:rsid w:val="00985569"/>
    <w:rsid w:val="0098591D"/>
    <w:rsid w:val="00985A5A"/>
    <w:rsid w:val="00985EFA"/>
    <w:rsid w:val="009876A5"/>
    <w:rsid w:val="0099025C"/>
    <w:rsid w:val="00990741"/>
    <w:rsid w:val="00990F5E"/>
    <w:rsid w:val="00991A5E"/>
    <w:rsid w:val="00992576"/>
    <w:rsid w:val="00992FFA"/>
    <w:rsid w:val="0099338E"/>
    <w:rsid w:val="0099411A"/>
    <w:rsid w:val="00994494"/>
    <w:rsid w:val="009948BE"/>
    <w:rsid w:val="00994E45"/>
    <w:rsid w:val="00995172"/>
    <w:rsid w:val="009959F3"/>
    <w:rsid w:val="00995EF3"/>
    <w:rsid w:val="009961A1"/>
    <w:rsid w:val="00997A2D"/>
    <w:rsid w:val="00997DC9"/>
    <w:rsid w:val="009A10C5"/>
    <w:rsid w:val="009A35A5"/>
    <w:rsid w:val="009A40C8"/>
    <w:rsid w:val="009A433E"/>
    <w:rsid w:val="009A49EE"/>
    <w:rsid w:val="009A5737"/>
    <w:rsid w:val="009A5F17"/>
    <w:rsid w:val="009A6AC0"/>
    <w:rsid w:val="009A7D0F"/>
    <w:rsid w:val="009B1441"/>
    <w:rsid w:val="009B15BE"/>
    <w:rsid w:val="009B1F2E"/>
    <w:rsid w:val="009B22A9"/>
    <w:rsid w:val="009B27F3"/>
    <w:rsid w:val="009B2B11"/>
    <w:rsid w:val="009B3420"/>
    <w:rsid w:val="009B4720"/>
    <w:rsid w:val="009B53EB"/>
    <w:rsid w:val="009B7DEE"/>
    <w:rsid w:val="009C061E"/>
    <w:rsid w:val="009C3676"/>
    <w:rsid w:val="009C3DB1"/>
    <w:rsid w:val="009C3E31"/>
    <w:rsid w:val="009C479F"/>
    <w:rsid w:val="009C538F"/>
    <w:rsid w:val="009C5D7F"/>
    <w:rsid w:val="009C65E5"/>
    <w:rsid w:val="009C700F"/>
    <w:rsid w:val="009C72BA"/>
    <w:rsid w:val="009C7380"/>
    <w:rsid w:val="009D1925"/>
    <w:rsid w:val="009D1ECB"/>
    <w:rsid w:val="009D2C0C"/>
    <w:rsid w:val="009D3DA7"/>
    <w:rsid w:val="009D3EFB"/>
    <w:rsid w:val="009D3F44"/>
    <w:rsid w:val="009D5247"/>
    <w:rsid w:val="009D563E"/>
    <w:rsid w:val="009D5B2D"/>
    <w:rsid w:val="009D6229"/>
    <w:rsid w:val="009D7C69"/>
    <w:rsid w:val="009E04FB"/>
    <w:rsid w:val="009E06C1"/>
    <w:rsid w:val="009E22B7"/>
    <w:rsid w:val="009E2BFC"/>
    <w:rsid w:val="009E2CD8"/>
    <w:rsid w:val="009E3212"/>
    <w:rsid w:val="009E36EA"/>
    <w:rsid w:val="009E3733"/>
    <w:rsid w:val="009E3E95"/>
    <w:rsid w:val="009E413A"/>
    <w:rsid w:val="009E442D"/>
    <w:rsid w:val="009E468B"/>
    <w:rsid w:val="009E4992"/>
    <w:rsid w:val="009E4D37"/>
    <w:rsid w:val="009E4DFF"/>
    <w:rsid w:val="009E5165"/>
    <w:rsid w:val="009E5F2E"/>
    <w:rsid w:val="009E6E0E"/>
    <w:rsid w:val="009E6F1C"/>
    <w:rsid w:val="009E765A"/>
    <w:rsid w:val="009F01D6"/>
    <w:rsid w:val="009F062A"/>
    <w:rsid w:val="009F0A12"/>
    <w:rsid w:val="009F136C"/>
    <w:rsid w:val="009F1594"/>
    <w:rsid w:val="009F16C5"/>
    <w:rsid w:val="009F21AA"/>
    <w:rsid w:val="009F3DE9"/>
    <w:rsid w:val="009F4F3B"/>
    <w:rsid w:val="009F50D1"/>
    <w:rsid w:val="009F5B56"/>
    <w:rsid w:val="009F6195"/>
    <w:rsid w:val="009F7794"/>
    <w:rsid w:val="00A01146"/>
    <w:rsid w:val="00A0202C"/>
    <w:rsid w:val="00A02144"/>
    <w:rsid w:val="00A0229D"/>
    <w:rsid w:val="00A04F8C"/>
    <w:rsid w:val="00A05BE0"/>
    <w:rsid w:val="00A05D6F"/>
    <w:rsid w:val="00A05EBD"/>
    <w:rsid w:val="00A06BBC"/>
    <w:rsid w:val="00A0700A"/>
    <w:rsid w:val="00A07735"/>
    <w:rsid w:val="00A10F98"/>
    <w:rsid w:val="00A11D60"/>
    <w:rsid w:val="00A12135"/>
    <w:rsid w:val="00A124F4"/>
    <w:rsid w:val="00A12626"/>
    <w:rsid w:val="00A12951"/>
    <w:rsid w:val="00A133B3"/>
    <w:rsid w:val="00A13A3C"/>
    <w:rsid w:val="00A13A98"/>
    <w:rsid w:val="00A1589F"/>
    <w:rsid w:val="00A15CE5"/>
    <w:rsid w:val="00A20FA9"/>
    <w:rsid w:val="00A20FD0"/>
    <w:rsid w:val="00A21E8E"/>
    <w:rsid w:val="00A22406"/>
    <w:rsid w:val="00A22E90"/>
    <w:rsid w:val="00A22F10"/>
    <w:rsid w:val="00A2410B"/>
    <w:rsid w:val="00A24301"/>
    <w:rsid w:val="00A25278"/>
    <w:rsid w:val="00A2568E"/>
    <w:rsid w:val="00A259F9"/>
    <w:rsid w:val="00A25C18"/>
    <w:rsid w:val="00A25C95"/>
    <w:rsid w:val="00A273B9"/>
    <w:rsid w:val="00A27AF4"/>
    <w:rsid w:val="00A305AB"/>
    <w:rsid w:val="00A30C8A"/>
    <w:rsid w:val="00A30FE2"/>
    <w:rsid w:val="00A31579"/>
    <w:rsid w:val="00A31BE0"/>
    <w:rsid w:val="00A32390"/>
    <w:rsid w:val="00A333A4"/>
    <w:rsid w:val="00A343E0"/>
    <w:rsid w:val="00A34433"/>
    <w:rsid w:val="00A34EEC"/>
    <w:rsid w:val="00A35583"/>
    <w:rsid w:val="00A35585"/>
    <w:rsid w:val="00A35C73"/>
    <w:rsid w:val="00A35C86"/>
    <w:rsid w:val="00A35FE6"/>
    <w:rsid w:val="00A37333"/>
    <w:rsid w:val="00A37385"/>
    <w:rsid w:val="00A374EF"/>
    <w:rsid w:val="00A37701"/>
    <w:rsid w:val="00A40BA2"/>
    <w:rsid w:val="00A42E88"/>
    <w:rsid w:val="00A4336B"/>
    <w:rsid w:val="00A43A4B"/>
    <w:rsid w:val="00A442F3"/>
    <w:rsid w:val="00A461C5"/>
    <w:rsid w:val="00A46BFF"/>
    <w:rsid w:val="00A46E8B"/>
    <w:rsid w:val="00A50001"/>
    <w:rsid w:val="00A5050F"/>
    <w:rsid w:val="00A522EC"/>
    <w:rsid w:val="00A52467"/>
    <w:rsid w:val="00A524D9"/>
    <w:rsid w:val="00A5293A"/>
    <w:rsid w:val="00A52C1C"/>
    <w:rsid w:val="00A52C52"/>
    <w:rsid w:val="00A54995"/>
    <w:rsid w:val="00A550CA"/>
    <w:rsid w:val="00A550CB"/>
    <w:rsid w:val="00A55181"/>
    <w:rsid w:val="00A5697C"/>
    <w:rsid w:val="00A56EBB"/>
    <w:rsid w:val="00A57238"/>
    <w:rsid w:val="00A602A7"/>
    <w:rsid w:val="00A6051C"/>
    <w:rsid w:val="00A61503"/>
    <w:rsid w:val="00A61855"/>
    <w:rsid w:val="00A621ED"/>
    <w:rsid w:val="00A62C8A"/>
    <w:rsid w:val="00A63660"/>
    <w:rsid w:val="00A63DEA"/>
    <w:rsid w:val="00A63DEE"/>
    <w:rsid w:val="00A648EF"/>
    <w:rsid w:val="00A656E6"/>
    <w:rsid w:val="00A65E30"/>
    <w:rsid w:val="00A6649D"/>
    <w:rsid w:val="00A66C3F"/>
    <w:rsid w:val="00A6740C"/>
    <w:rsid w:val="00A678A3"/>
    <w:rsid w:val="00A67F28"/>
    <w:rsid w:val="00A71015"/>
    <w:rsid w:val="00A7188F"/>
    <w:rsid w:val="00A71B5A"/>
    <w:rsid w:val="00A73266"/>
    <w:rsid w:val="00A737A7"/>
    <w:rsid w:val="00A73C7C"/>
    <w:rsid w:val="00A763A2"/>
    <w:rsid w:val="00A767C5"/>
    <w:rsid w:val="00A76DE7"/>
    <w:rsid w:val="00A77E3D"/>
    <w:rsid w:val="00A80492"/>
    <w:rsid w:val="00A806EF"/>
    <w:rsid w:val="00A81056"/>
    <w:rsid w:val="00A8159E"/>
    <w:rsid w:val="00A81745"/>
    <w:rsid w:val="00A81805"/>
    <w:rsid w:val="00A81A6D"/>
    <w:rsid w:val="00A81C3F"/>
    <w:rsid w:val="00A81ECF"/>
    <w:rsid w:val="00A82B69"/>
    <w:rsid w:val="00A82CD9"/>
    <w:rsid w:val="00A831A6"/>
    <w:rsid w:val="00A83A5D"/>
    <w:rsid w:val="00A8401D"/>
    <w:rsid w:val="00A840A8"/>
    <w:rsid w:val="00A8451E"/>
    <w:rsid w:val="00A84697"/>
    <w:rsid w:val="00A846B5"/>
    <w:rsid w:val="00A84783"/>
    <w:rsid w:val="00A86391"/>
    <w:rsid w:val="00A86C18"/>
    <w:rsid w:val="00A86FB2"/>
    <w:rsid w:val="00A87319"/>
    <w:rsid w:val="00A903AE"/>
    <w:rsid w:val="00A9078C"/>
    <w:rsid w:val="00A90A5C"/>
    <w:rsid w:val="00A90DA8"/>
    <w:rsid w:val="00A92248"/>
    <w:rsid w:val="00A9295F"/>
    <w:rsid w:val="00A92FC2"/>
    <w:rsid w:val="00A93CC6"/>
    <w:rsid w:val="00A940A0"/>
    <w:rsid w:val="00A94A00"/>
    <w:rsid w:val="00A96CB7"/>
    <w:rsid w:val="00A9706A"/>
    <w:rsid w:val="00A9749B"/>
    <w:rsid w:val="00A97821"/>
    <w:rsid w:val="00A97C90"/>
    <w:rsid w:val="00AA1399"/>
    <w:rsid w:val="00AA242D"/>
    <w:rsid w:val="00AA4CE1"/>
    <w:rsid w:val="00AA4F0E"/>
    <w:rsid w:val="00AA5A86"/>
    <w:rsid w:val="00AA6501"/>
    <w:rsid w:val="00AA67CC"/>
    <w:rsid w:val="00AA6855"/>
    <w:rsid w:val="00AA68CF"/>
    <w:rsid w:val="00AA7495"/>
    <w:rsid w:val="00AA74A1"/>
    <w:rsid w:val="00AA7AF3"/>
    <w:rsid w:val="00AB1075"/>
    <w:rsid w:val="00AB166A"/>
    <w:rsid w:val="00AB183A"/>
    <w:rsid w:val="00AB19D5"/>
    <w:rsid w:val="00AB2763"/>
    <w:rsid w:val="00AB2CBE"/>
    <w:rsid w:val="00AB335C"/>
    <w:rsid w:val="00AB34FA"/>
    <w:rsid w:val="00AB3A50"/>
    <w:rsid w:val="00AB3A69"/>
    <w:rsid w:val="00AB5167"/>
    <w:rsid w:val="00AB5418"/>
    <w:rsid w:val="00AB5EFB"/>
    <w:rsid w:val="00AB64C3"/>
    <w:rsid w:val="00AB64C7"/>
    <w:rsid w:val="00AB7935"/>
    <w:rsid w:val="00AB7BD7"/>
    <w:rsid w:val="00AB7EE9"/>
    <w:rsid w:val="00AC0A09"/>
    <w:rsid w:val="00AC0B28"/>
    <w:rsid w:val="00AC0CE0"/>
    <w:rsid w:val="00AC4458"/>
    <w:rsid w:val="00AC4B84"/>
    <w:rsid w:val="00AC5829"/>
    <w:rsid w:val="00AC6576"/>
    <w:rsid w:val="00AC6893"/>
    <w:rsid w:val="00AC6EE3"/>
    <w:rsid w:val="00AC7CC7"/>
    <w:rsid w:val="00AD0E04"/>
    <w:rsid w:val="00AD11ED"/>
    <w:rsid w:val="00AD39C0"/>
    <w:rsid w:val="00AD40E9"/>
    <w:rsid w:val="00AD59DA"/>
    <w:rsid w:val="00AD5A8D"/>
    <w:rsid w:val="00AD5F5D"/>
    <w:rsid w:val="00AD5FC0"/>
    <w:rsid w:val="00AD63EA"/>
    <w:rsid w:val="00AD6485"/>
    <w:rsid w:val="00AD6D83"/>
    <w:rsid w:val="00AD779D"/>
    <w:rsid w:val="00AD77FC"/>
    <w:rsid w:val="00AD7EBC"/>
    <w:rsid w:val="00AE013D"/>
    <w:rsid w:val="00AE034D"/>
    <w:rsid w:val="00AE0677"/>
    <w:rsid w:val="00AE0995"/>
    <w:rsid w:val="00AE14CE"/>
    <w:rsid w:val="00AE1CC5"/>
    <w:rsid w:val="00AE2306"/>
    <w:rsid w:val="00AE2739"/>
    <w:rsid w:val="00AE285C"/>
    <w:rsid w:val="00AE29B5"/>
    <w:rsid w:val="00AE43F2"/>
    <w:rsid w:val="00AE4A52"/>
    <w:rsid w:val="00AE4F95"/>
    <w:rsid w:val="00AE522E"/>
    <w:rsid w:val="00AE55C6"/>
    <w:rsid w:val="00AE633A"/>
    <w:rsid w:val="00AE640C"/>
    <w:rsid w:val="00AE6A81"/>
    <w:rsid w:val="00AE6AE8"/>
    <w:rsid w:val="00AE70DF"/>
    <w:rsid w:val="00AE73D4"/>
    <w:rsid w:val="00AE7822"/>
    <w:rsid w:val="00AE7E5E"/>
    <w:rsid w:val="00AE7EB1"/>
    <w:rsid w:val="00AF0678"/>
    <w:rsid w:val="00AF0886"/>
    <w:rsid w:val="00AF0F58"/>
    <w:rsid w:val="00AF1E6F"/>
    <w:rsid w:val="00AF1FAA"/>
    <w:rsid w:val="00AF21E2"/>
    <w:rsid w:val="00AF25B9"/>
    <w:rsid w:val="00AF2C25"/>
    <w:rsid w:val="00AF45E2"/>
    <w:rsid w:val="00AF4E7C"/>
    <w:rsid w:val="00AF5484"/>
    <w:rsid w:val="00AF6529"/>
    <w:rsid w:val="00AF6D17"/>
    <w:rsid w:val="00AF79FE"/>
    <w:rsid w:val="00B00112"/>
    <w:rsid w:val="00B00897"/>
    <w:rsid w:val="00B01643"/>
    <w:rsid w:val="00B02B97"/>
    <w:rsid w:val="00B057B6"/>
    <w:rsid w:val="00B05DB3"/>
    <w:rsid w:val="00B06A8B"/>
    <w:rsid w:val="00B06CE9"/>
    <w:rsid w:val="00B10605"/>
    <w:rsid w:val="00B10845"/>
    <w:rsid w:val="00B11095"/>
    <w:rsid w:val="00B129D7"/>
    <w:rsid w:val="00B12A9D"/>
    <w:rsid w:val="00B12EB8"/>
    <w:rsid w:val="00B135C2"/>
    <w:rsid w:val="00B13AD9"/>
    <w:rsid w:val="00B1548A"/>
    <w:rsid w:val="00B16C69"/>
    <w:rsid w:val="00B16FCA"/>
    <w:rsid w:val="00B16FD9"/>
    <w:rsid w:val="00B17F30"/>
    <w:rsid w:val="00B20EE9"/>
    <w:rsid w:val="00B231AD"/>
    <w:rsid w:val="00B238EC"/>
    <w:rsid w:val="00B23BB7"/>
    <w:rsid w:val="00B23D46"/>
    <w:rsid w:val="00B24DE5"/>
    <w:rsid w:val="00B2570E"/>
    <w:rsid w:val="00B26099"/>
    <w:rsid w:val="00B26526"/>
    <w:rsid w:val="00B26F67"/>
    <w:rsid w:val="00B27024"/>
    <w:rsid w:val="00B27706"/>
    <w:rsid w:val="00B27A6D"/>
    <w:rsid w:val="00B310C8"/>
    <w:rsid w:val="00B31D36"/>
    <w:rsid w:val="00B32938"/>
    <w:rsid w:val="00B32CD9"/>
    <w:rsid w:val="00B32D54"/>
    <w:rsid w:val="00B33922"/>
    <w:rsid w:val="00B35DB7"/>
    <w:rsid w:val="00B35DE2"/>
    <w:rsid w:val="00B35F55"/>
    <w:rsid w:val="00B365DF"/>
    <w:rsid w:val="00B374C0"/>
    <w:rsid w:val="00B37C32"/>
    <w:rsid w:val="00B41F8F"/>
    <w:rsid w:val="00B439E1"/>
    <w:rsid w:val="00B43A47"/>
    <w:rsid w:val="00B43F47"/>
    <w:rsid w:val="00B4461A"/>
    <w:rsid w:val="00B44C6A"/>
    <w:rsid w:val="00B466F8"/>
    <w:rsid w:val="00B469E9"/>
    <w:rsid w:val="00B473AD"/>
    <w:rsid w:val="00B475DD"/>
    <w:rsid w:val="00B502C1"/>
    <w:rsid w:val="00B50DAF"/>
    <w:rsid w:val="00B5103B"/>
    <w:rsid w:val="00B53721"/>
    <w:rsid w:val="00B540C7"/>
    <w:rsid w:val="00B560CC"/>
    <w:rsid w:val="00B5615C"/>
    <w:rsid w:val="00B56199"/>
    <w:rsid w:val="00B56850"/>
    <w:rsid w:val="00B603D8"/>
    <w:rsid w:val="00B60E7E"/>
    <w:rsid w:val="00B61189"/>
    <w:rsid w:val="00B6123D"/>
    <w:rsid w:val="00B61B1E"/>
    <w:rsid w:val="00B61F5F"/>
    <w:rsid w:val="00B631FF"/>
    <w:rsid w:val="00B635E4"/>
    <w:rsid w:val="00B63A8C"/>
    <w:rsid w:val="00B64D0C"/>
    <w:rsid w:val="00B6534F"/>
    <w:rsid w:val="00B66E97"/>
    <w:rsid w:val="00B671F6"/>
    <w:rsid w:val="00B6727B"/>
    <w:rsid w:val="00B675D3"/>
    <w:rsid w:val="00B67620"/>
    <w:rsid w:val="00B706D6"/>
    <w:rsid w:val="00B70DB4"/>
    <w:rsid w:val="00B7146A"/>
    <w:rsid w:val="00B71CED"/>
    <w:rsid w:val="00B723D2"/>
    <w:rsid w:val="00B74301"/>
    <w:rsid w:val="00B74318"/>
    <w:rsid w:val="00B74C9F"/>
    <w:rsid w:val="00B7534F"/>
    <w:rsid w:val="00B75E88"/>
    <w:rsid w:val="00B76029"/>
    <w:rsid w:val="00B76121"/>
    <w:rsid w:val="00B76320"/>
    <w:rsid w:val="00B7791B"/>
    <w:rsid w:val="00B800A6"/>
    <w:rsid w:val="00B803C7"/>
    <w:rsid w:val="00B81081"/>
    <w:rsid w:val="00B810A5"/>
    <w:rsid w:val="00B816B4"/>
    <w:rsid w:val="00B8259C"/>
    <w:rsid w:val="00B82DBD"/>
    <w:rsid w:val="00B83FFF"/>
    <w:rsid w:val="00B8546B"/>
    <w:rsid w:val="00B86C69"/>
    <w:rsid w:val="00B8761D"/>
    <w:rsid w:val="00B87C76"/>
    <w:rsid w:val="00B87F3D"/>
    <w:rsid w:val="00B904E5"/>
    <w:rsid w:val="00B90E37"/>
    <w:rsid w:val="00B920D8"/>
    <w:rsid w:val="00B929FF"/>
    <w:rsid w:val="00B92D4E"/>
    <w:rsid w:val="00B93302"/>
    <w:rsid w:val="00B93886"/>
    <w:rsid w:val="00B939B1"/>
    <w:rsid w:val="00B93AA9"/>
    <w:rsid w:val="00B93D5C"/>
    <w:rsid w:val="00B94E76"/>
    <w:rsid w:val="00B96206"/>
    <w:rsid w:val="00B96F96"/>
    <w:rsid w:val="00B97F3B"/>
    <w:rsid w:val="00BA150F"/>
    <w:rsid w:val="00BA20CF"/>
    <w:rsid w:val="00BA246F"/>
    <w:rsid w:val="00BA252C"/>
    <w:rsid w:val="00BA4C04"/>
    <w:rsid w:val="00BA55B8"/>
    <w:rsid w:val="00BA568C"/>
    <w:rsid w:val="00BA6063"/>
    <w:rsid w:val="00BA6A46"/>
    <w:rsid w:val="00BA72BC"/>
    <w:rsid w:val="00BB034C"/>
    <w:rsid w:val="00BB0499"/>
    <w:rsid w:val="00BB0514"/>
    <w:rsid w:val="00BB068F"/>
    <w:rsid w:val="00BB1B48"/>
    <w:rsid w:val="00BB243C"/>
    <w:rsid w:val="00BB25DD"/>
    <w:rsid w:val="00BB59DA"/>
    <w:rsid w:val="00BB6B63"/>
    <w:rsid w:val="00BB6D96"/>
    <w:rsid w:val="00BC12CF"/>
    <w:rsid w:val="00BC14DB"/>
    <w:rsid w:val="00BC176F"/>
    <w:rsid w:val="00BC20B7"/>
    <w:rsid w:val="00BC241E"/>
    <w:rsid w:val="00BC33BE"/>
    <w:rsid w:val="00BC39DF"/>
    <w:rsid w:val="00BC3A41"/>
    <w:rsid w:val="00BC4702"/>
    <w:rsid w:val="00BC491F"/>
    <w:rsid w:val="00BC5C68"/>
    <w:rsid w:val="00BC6B8E"/>
    <w:rsid w:val="00BC7C5C"/>
    <w:rsid w:val="00BD2473"/>
    <w:rsid w:val="00BD2B93"/>
    <w:rsid w:val="00BD3022"/>
    <w:rsid w:val="00BD343E"/>
    <w:rsid w:val="00BD3EF8"/>
    <w:rsid w:val="00BD483E"/>
    <w:rsid w:val="00BD7B68"/>
    <w:rsid w:val="00BD7C6F"/>
    <w:rsid w:val="00BE0D33"/>
    <w:rsid w:val="00BE1420"/>
    <w:rsid w:val="00BE1464"/>
    <w:rsid w:val="00BE1AA2"/>
    <w:rsid w:val="00BE1CAD"/>
    <w:rsid w:val="00BE2C76"/>
    <w:rsid w:val="00BE37BD"/>
    <w:rsid w:val="00BE3D96"/>
    <w:rsid w:val="00BE4589"/>
    <w:rsid w:val="00BE4900"/>
    <w:rsid w:val="00BE4B0C"/>
    <w:rsid w:val="00BE4D66"/>
    <w:rsid w:val="00BE4EE3"/>
    <w:rsid w:val="00BE4F1C"/>
    <w:rsid w:val="00BE54B7"/>
    <w:rsid w:val="00BE5E62"/>
    <w:rsid w:val="00BE5E64"/>
    <w:rsid w:val="00BE6703"/>
    <w:rsid w:val="00BE682B"/>
    <w:rsid w:val="00BE69FC"/>
    <w:rsid w:val="00BE7708"/>
    <w:rsid w:val="00BE7DF6"/>
    <w:rsid w:val="00BE7FDB"/>
    <w:rsid w:val="00BF131A"/>
    <w:rsid w:val="00BF1A90"/>
    <w:rsid w:val="00BF1AD8"/>
    <w:rsid w:val="00BF1B36"/>
    <w:rsid w:val="00BF1C27"/>
    <w:rsid w:val="00BF250A"/>
    <w:rsid w:val="00BF27D3"/>
    <w:rsid w:val="00BF2859"/>
    <w:rsid w:val="00BF2DC3"/>
    <w:rsid w:val="00BF30DD"/>
    <w:rsid w:val="00BF372F"/>
    <w:rsid w:val="00BF377C"/>
    <w:rsid w:val="00BF3AD5"/>
    <w:rsid w:val="00BF4064"/>
    <w:rsid w:val="00BF4ABF"/>
    <w:rsid w:val="00BF52BE"/>
    <w:rsid w:val="00BF65C8"/>
    <w:rsid w:val="00BF6602"/>
    <w:rsid w:val="00BF6B0E"/>
    <w:rsid w:val="00BF7492"/>
    <w:rsid w:val="00BF7B0B"/>
    <w:rsid w:val="00BF7F22"/>
    <w:rsid w:val="00C00B4F"/>
    <w:rsid w:val="00C017C2"/>
    <w:rsid w:val="00C01B42"/>
    <w:rsid w:val="00C01DA3"/>
    <w:rsid w:val="00C027EC"/>
    <w:rsid w:val="00C035CE"/>
    <w:rsid w:val="00C04113"/>
    <w:rsid w:val="00C04CBA"/>
    <w:rsid w:val="00C04EC7"/>
    <w:rsid w:val="00C0668A"/>
    <w:rsid w:val="00C0694F"/>
    <w:rsid w:val="00C07040"/>
    <w:rsid w:val="00C10207"/>
    <w:rsid w:val="00C102B5"/>
    <w:rsid w:val="00C1092D"/>
    <w:rsid w:val="00C11DB2"/>
    <w:rsid w:val="00C11E3D"/>
    <w:rsid w:val="00C126CD"/>
    <w:rsid w:val="00C12C8D"/>
    <w:rsid w:val="00C12D6A"/>
    <w:rsid w:val="00C1368E"/>
    <w:rsid w:val="00C13738"/>
    <w:rsid w:val="00C13C59"/>
    <w:rsid w:val="00C14BBE"/>
    <w:rsid w:val="00C15DFA"/>
    <w:rsid w:val="00C1604E"/>
    <w:rsid w:val="00C17ADA"/>
    <w:rsid w:val="00C17B67"/>
    <w:rsid w:val="00C17CDC"/>
    <w:rsid w:val="00C20359"/>
    <w:rsid w:val="00C20B6E"/>
    <w:rsid w:val="00C2131D"/>
    <w:rsid w:val="00C219AD"/>
    <w:rsid w:val="00C222F8"/>
    <w:rsid w:val="00C22938"/>
    <w:rsid w:val="00C231AD"/>
    <w:rsid w:val="00C2394A"/>
    <w:rsid w:val="00C24BE5"/>
    <w:rsid w:val="00C25567"/>
    <w:rsid w:val="00C25A98"/>
    <w:rsid w:val="00C25D31"/>
    <w:rsid w:val="00C25D8F"/>
    <w:rsid w:val="00C25F54"/>
    <w:rsid w:val="00C261DF"/>
    <w:rsid w:val="00C265C6"/>
    <w:rsid w:val="00C2699F"/>
    <w:rsid w:val="00C27033"/>
    <w:rsid w:val="00C30239"/>
    <w:rsid w:val="00C306FF"/>
    <w:rsid w:val="00C30EB4"/>
    <w:rsid w:val="00C311FE"/>
    <w:rsid w:val="00C331E2"/>
    <w:rsid w:val="00C34742"/>
    <w:rsid w:val="00C348B4"/>
    <w:rsid w:val="00C34C77"/>
    <w:rsid w:val="00C34CDB"/>
    <w:rsid w:val="00C37183"/>
    <w:rsid w:val="00C37274"/>
    <w:rsid w:val="00C37F01"/>
    <w:rsid w:val="00C40125"/>
    <w:rsid w:val="00C40364"/>
    <w:rsid w:val="00C405E9"/>
    <w:rsid w:val="00C415AE"/>
    <w:rsid w:val="00C43FA9"/>
    <w:rsid w:val="00C44B0A"/>
    <w:rsid w:val="00C4533D"/>
    <w:rsid w:val="00C4552B"/>
    <w:rsid w:val="00C457B8"/>
    <w:rsid w:val="00C45B1B"/>
    <w:rsid w:val="00C46897"/>
    <w:rsid w:val="00C47ACC"/>
    <w:rsid w:val="00C50119"/>
    <w:rsid w:val="00C505E8"/>
    <w:rsid w:val="00C50A5F"/>
    <w:rsid w:val="00C5124A"/>
    <w:rsid w:val="00C51401"/>
    <w:rsid w:val="00C519A2"/>
    <w:rsid w:val="00C52519"/>
    <w:rsid w:val="00C52545"/>
    <w:rsid w:val="00C52C04"/>
    <w:rsid w:val="00C53298"/>
    <w:rsid w:val="00C536B2"/>
    <w:rsid w:val="00C53746"/>
    <w:rsid w:val="00C53B4A"/>
    <w:rsid w:val="00C54A5B"/>
    <w:rsid w:val="00C550E7"/>
    <w:rsid w:val="00C55666"/>
    <w:rsid w:val="00C569BE"/>
    <w:rsid w:val="00C57C4C"/>
    <w:rsid w:val="00C57C9B"/>
    <w:rsid w:val="00C61A52"/>
    <w:rsid w:val="00C62136"/>
    <w:rsid w:val="00C6289C"/>
    <w:rsid w:val="00C63968"/>
    <w:rsid w:val="00C64319"/>
    <w:rsid w:val="00C64C8C"/>
    <w:rsid w:val="00C656F4"/>
    <w:rsid w:val="00C65A7C"/>
    <w:rsid w:val="00C65B9F"/>
    <w:rsid w:val="00C65FDA"/>
    <w:rsid w:val="00C66833"/>
    <w:rsid w:val="00C7000E"/>
    <w:rsid w:val="00C70101"/>
    <w:rsid w:val="00C707DF"/>
    <w:rsid w:val="00C70F73"/>
    <w:rsid w:val="00C71A5A"/>
    <w:rsid w:val="00C7238A"/>
    <w:rsid w:val="00C72E44"/>
    <w:rsid w:val="00C72F94"/>
    <w:rsid w:val="00C7317D"/>
    <w:rsid w:val="00C732FF"/>
    <w:rsid w:val="00C73B51"/>
    <w:rsid w:val="00C7400A"/>
    <w:rsid w:val="00C74813"/>
    <w:rsid w:val="00C74CBE"/>
    <w:rsid w:val="00C75C28"/>
    <w:rsid w:val="00C760D2"/>
    <w:rsid w:val="00C7671C"/>
    <w:rsid w:val="00C768D9"/>
    <w:rsid w:val="00C76A0A"/>
    <w:rsid w:val="00C76C5D"/>
    <w:rsid w:val="00C77370"/>
    <w:rsid w:val="00C77CA2"/>
    <w:rsid w:val="00C807AF"/>
    <w:rsid w:val="00C807D5"/>
    <w:rsid w:val="00C80B38"/>
    <w:rsid w:val="00C80CA0"/>
    <w:rsid w:val="00C82609"/>
    <w:rsid w:val="00C82CAF"/>
    <w:rsid w:val="00C82CC7"/>
    <w:rsid w:val="00C8361E"/>
    <w:rsid w:val="00C842FF"/>
    <w:rsid w:val="00C84877"/>
    <w:rsid w:val="00C84CBB"/>
    <w:rsid w:val="00C84D24"/>
    <w:rsid w:val="00C858D3"/>
    <w:rsid w:val="00C85C10"/>
    <w:rsid w:val="00C85EC2"/>
    <w:rsid w:val="00C86874"/>
    <w:rsid w:val="00C86ED4"/>
    <w:rsid w:val="00C87173"/>
    <w:rsid w:val="00C9024A"/>
    <w:rsid w:val="00C90602"/>
    <w:rsid w:val="00C91FE7"/>
    <w:rsid w:val="00C92564"/>
    <w:rsid w:val="00C9282C"/>
    <w:rsid w:val="00C928DA"/>
    <w:rsid w:val="00C92E1B"/>
    <w:rsid w:val="00C93844"/>
    <w:rsid w:val="00C9399A"/>
    <w:rsid w:val="00C951EF"/>
    <w:rsid w:val="00C952EF"/>
    <w:rsid w:val="00C95361"/>
    <w:rsid w:val="00C95CEC"/>
    <w:rsid w:val="00C96782"/>
    <w:rsid w:val="00C97DE1"/>
    <w:rsid w:val="00CA0116"/>
    <w:rsid w:val="00CA0273"/>
    <w:rsid w:val="00CA0D5B"/>
    <w:rsid w:val="00CA17A7"/>
    <w:rsid w:val="00CA18BA"/>
    <w:rsid w:val="00CA2E54"/>
    <w:rsid w:val="00CA32B6"/>
    <w:rsid w:val="00CA338F"/>
    <w:rsid w:val="00CA3B56"/>
    <w:rsid w:val="00CA3C98"/>
    <w:rsid w:val="00CA404F"/>
    <w:rsid w:val="00CA421E"/>
    <w:rsid w:val="00CA682E"/>
    <w:rsid w:val="00CA6F29"/>
    <w:rsid w:val="00CA7775"/>
    <w:rsid w:val="00CA79F3"/>
    <w:rsid w:val="00CB016B"/>
    <w:rsid w:val="00CB07A7"/>
    <w:rsid w:val="00CB1567"/>
    <w:rsid w:val="00CB1C29"/>
    <w:rsid w:val="00CB1C80"/>
    <w:rsid w:val="00CB2322"/>
    <w:rsid w:val="00CB2783"/>
    <w:rsid w:val="00CB29F4"/>
    <w:rsid w:val="00CB32AE"/>
    <w:rsid w:val="00CB40F1"/>
    <w:rsid w:val="00CB543F"/>
    <w:rsid w:val="00CB54F3"/>
    <w:rsid w:val="00CB6E85"/>
    <w:rsid w:val="00CB72EE"/>
    <w:rsid w:val="00CB7687"/>
    <w:rsid w:val="00CB7BF3"/>
    <w:rsid w:val="00CC0A95"/>
    <w:rsid w:val="00CC0F73"/>
    <w:rsid w:val="00CC2B21"/>
    <w:rsid w:val="00CC2C03"/>
    <w:rsid w:val="00CC377E"/>
    <w:rsid w:val="00CC3C16"/>
    <w:rsid w:val="00CC424A"/>
    <w:rsid w:val="00CC4564"/>
    <w:rsid w:val="00CC45EB"/>
    <w:rsid w:val="00CC5051"/>
    <w:rsid w:val="00CC6F7E"/>
    <w:rsid w:val="00CC712F"/>
    <w:rsid w:val="00CC7A85"/>
    <w:rsid w:val="00CD0F88"/>
    <w:rsid w:val="00CD106C"/>
    <w:rsid w:val="00CD1605"/>
    <w:rsid w:val="00CD2326"/>
    <w:rsid w:val="00CD26A9"/>
    <w:rsid w:val="00CD2C64"/>
    <w:rsid w:val="00CD2EC6"/>
    <w:rsid w:val="00CD2F11"/>
    <w:rsid w:val="00CD3106"/>
    <w:rsid w:val="00CD5125"/>
    <w:rsid w:val="00CD5879"/>
    <w:rsid w:val="00CD6F09"/>
    <w:rsid w:val="00CD77D4"/>
    <w:rsid w:val="00CE03B5"/>
    <w:rsid w:val="00CE0DDB"/>
    <w:rsid w:val="00CE1C86"/>
    <w:rsid w:val="00CE214B"/>
    <w:rsid w:val="00CE2D89"/>
    <w:rsid w:val="00CE4165"/>
    <w:rsid w:val="00CE5520"/>
    <w:rsid w:val="00CE5FFB"/>
    <w:rsid w:val="00CE7B91"/>
    <w:rsid w:val="00CF0335"/>
    <w:rsid w:val="00CF0607"/>
    <w:rsid w:val="00CF0FE4"/>
    <w:rsid w:val="00CF1061"/>
    <w:rsid w:val="00CF14A5"/>
    <w:rsid w:val="00CF18B5"/>
    <w:rsid w:val="00CF34DF"/>
    <w:rsid w:val="00CF379A"/>
    <w:rsid w:val="00CF4016"/>
    <w:rsid w:val="00CF43D9"/>
    <w:rsid w:val="00CF4A13"/>
    <w:rsid w:val="00CF4BAF"/>
    <w:rsid w:val="00CF5CF5"/>
    <w:rsid w:val="00CF6590"/>
    <w:rsid w:val="00CF6718"/>
    <w:rsid w:val="00CF795B"/>
    <w:rsid w:val="00CF7FD1"/>
    <w:rsid w:val="00D01364"/>
    <w:rsid w:val="00D01473"/>
    <w:rsid w:val="00D0199B"/>
    <w:rsid w:val="00D03521"/>
    <w:rsid w:val="00D03F61"/>
    <w:rsid w:val="00D059C6"/>
    <w:rsid w:val="00D05F17"/>
    <w:rsid w:val="00D06054"/>
    <w:rsid w:val="00D06060"/>
    <w:rsid w:val="00D0650B"/>
    <w:rsid w:val="00D06A38"/>
    <w:rsid w:val="00D07906"/>
    <w:rsid w:val="00D100F1"/>
    <w:rsid w:val="00D11042"/>
    <w:rsid w:val="00D1108C"/>
    <w:rsid w:val="00D1201F"/>
    <w:rsid w:val="00D1206C"/>
    <w:rsid w:val="00D13B24"/>
    <w:rsid w:val="00D13BFB"/>
    <w:rsid w:val="00D13C82"/>
    <w:rsid w:val="00D140E3"/>
    <w:rsid w:val="00D14C11"/>
    <w:rsid w:val="00D155D4"/>
    <w:rsid w:val="00D15C4D"/>
    <w:rsid w:val="00D16207"/>
    <w:rsid w:val="00D16645"/>
    <w:rsid w:val="00D168E3"/>
    <w:rsid w:val="00D17055"/>
    <w:rsid w:val="00D20184"/>
    <w:rsid w:val="00D2039C"/>
    <w:rsid w:val="00D20E4D"/>
    <w:rsid w:val="00D2140B"/>
    <w:rsid w:val="00D215E6"/>
    <w:rsid w:val="00D21E33"/>
    <w:rsid w:val="00D21EA3"/>
    <w:rsid w:val="00D22703"/>
    <w:rsid w:val="00D228CF"/>
    <w:rsid w:val="00D233D3"/>
    <w:rsid w:val="00D24885"/>
    <w:rsid w:val="00D24BFB"/>
    <w:rsid w:val="00D25591"/>
    <w:rsid w:val="00D257A1"/>
    <w:rsid w:val="00D25CC8"/>
    <w:rsid w:val="00D25FF6"/>
    <w:rsid w:val="00D26224"/>
    <w:rsid w:val="00D273E9"/>
    <w:rsid w:val="00D2762A"/>
    <w:rsid w:val="00D30CCA"/>
    <w:rsid w:val="00D317FE"/>
    <w:rsid w:val="00D31B39"/>
    <w:rsid w:val="00D320AD"/>
    <w:rsid w:val="00D32F31"/>
    <w:rsid w:val="00D330D2"/>
    <w:rsid w:val="00D33109"/>
    <w:rsid w:val="00D33B64"/>
    <w:rsid w:val="00D33DB0"/>
    <w:rsid w:val="00D34558"/>
    <w:rsid w:val="00D35675"/>
    <w:rsid w:val="00D361FB"/>
    <w:rsid w:val="00D36592"/>
    <w:rsid w:val="00D36F09"/>
    <w:rsid w:val="00D37228"/>
    <w:rsid w:val="00D37320"/>
    <w:rsid w:val="00D375F0"/>
    <w:rsid w:val="00D3797F"/>
    <w:rsid w:val="00D37CAB"/>
    <w:rsid w:val="00D40000"/>
    <w:rsid w:val="00D40118"/>
    <w:rsid w:val="00D40C2C"/>
    <w:rsid w:val="00D417BE"/>
    <w:rsid w:val="00D41D0D"/>
    <w:rsid w:val="00D4299F"/>
    <w:rsid w:val="00D42C82"/>
    <w:rsid w:val="00D43357"/>
    <w:rsid w:val="00D43709"/>
    <w:rsid w:val="00D43F00"/>
    <w:rsid w:val="00D451DC"/>
    <w:rsid w:val="00D45392"/>
    <w:rsid w:val="00D45B08"/>
    <w:rsid w:val="00D462CC"/>
    <w:rsid w:val="00D4711A"/>
    <w:rsid w:val="00D47437"/>
    <w:rsid w:val="00D47E05"/>
    <w:rsid w:val="00D47E06"/>
    <w:rsid w:val="00D50399"/>
    <w:rsid w:val="00D50581"/>
    <w:rsid w:val="00D50911"/>
    <w:rsid w:val="00D5277D"/>
    <w:rsid w:val="00D52DE7"/>
    <w:rsid w:val="00D53E48"/>
    <w:rsid w:val="00D53EA7"/>
    <w:rsid w:val="00D54F40"/>
    <w:rsid w:val="00D55FD0"/>
    <w:rsid w:val="00D565F8"/>
    <w:rsid w:val="00D568AC"/>
    <w:rsid w:val="00D56E6A"/>
    <w:rsid w:val="00D57C6C"/>
    <w:rsid w:val="00D60E38"/>
    <w:rsid w:val="00D62718"/>
    <w:rsid w:val="00D6282B"/>
    <w:rsid w:val="00D62CB7"/>
    <w:rsid w:val="00D62D4A"/>
    <w:rsid w:val="00D6329D"/>
    <w:rsid w:val="00D636C2"/>
    <w:rsid w:val="00D636FB"/>
    <w:rsid w:val="00D63EF2"/>
    <w:rsid w:val="00D641D8"/>
    <w:rsid w:val="00D64B48"/>
    <w:rsid w:val="00D6504B"/>
    <w:rsid w:val="00D658C8"/>
    <w:rsid w:val="00D65E17"/>
    <w:rsid w:val="00D66FB6"/>
    <w:rsid w:val="00D7014E"/>
    <w:rsid w:val="00D71AF6"/>
    <w:rsid w:val="00D71FF7"/>
    <w:rsid w:val="00D727EE"/>
    <w:rsid w:val="00D735C0"/>
    <w:rsid w:val="00D73A32"/>
    <w:rsid w:val="00D74394"/>
    <w:rsid w:val="00D75052"/>
    <w:rsid w:val="00D75198"/>
    <w:rsid w:val="00D75478"/>
    <w:rsid w:val="00D75A28"/>
    <w:rsid w:val="00D75E5E"/>
    <w:rsid w:val="00D75E7C"/>
    <w:rsid w:val="00D764E6"/>
    <w:rsid w:val="00D76B69"/>
    <w:rsid w:val="00D76CD8"/>
    <w:rsid w:val="00D77703"/>
    <w:rsid w:val="00D7793A"/>
    <w:rsid w:val="00D806BA"/>
    <w:rsid w:val="00D808F4"/>
    <w:rsid w:val="00D817F8"/>
    <w:rsid w:val="00D81D4E"/>
    <w:rsid w:val="00D8289E"/>
    <w:rsid w:val="00D82CDB"/>
    <w:rsid w:val="00D832E0"/>
    <w:rsid w:val="00D84CCD"/>
    <w:rsid w:val="00D8573C"/>
    <w:rsid w:val="00D869A5"/>
    <w:rsid w:val="00D87BE1"/>
    <w:rsid w:val="00D90751"/>
    <w:rsid w:val="00D90B33"/>
    <w:rsid w:val="00D91684"/>
    <w:rsid w:val="00D916DD"/>
    <w:rsid w:val="00D91D17"/>
    <w:rsid w:val="00D9254D"/>
    <w:rsid w:val="00D93AA9"/>
    <w:rsid w:val="00D93C1D"/>
    <w:rsid w:val="00D949D8"/>
    <w:rsid w:val="00D94DB9"/>
    <w:rsid w:val="00D95617"/>
    <w:rsid w:val="00D95E10"/>
    <w:rsid w:val="00D966EB"/>
    <w:rsid w:val="00D96871"/>
    <w:rsid w:val="00D96BD8"/>
    <w:rsid w:val="00D96D73"/>
    <w:rsid w:val="00D971BF"/>
    <w:rsid w:val="00D972E3"/>
    <w:rsid w:val="00D97ACD"/>
    <w:rsid w:val="00DA0223"/>
    <w:rsid w:val="00DA0241"/>
    <w:rsid w:val="00DA0A22"/>
    <w:rsid w:val="00DA0C76"/>
    <w:rsid w:val="00DA0DBE"/>
    <w:rsid w:val="00DA17A2"/>
    <w:rsid w:val="00DA2017"/>
    <w:rsid w:val="00DA2280"/>
    <w:rsid w:val="00DA25F6"/>
    <w:rsid w:val="00DA29EF"/>
    <w:rsid w:val="00DA2AB1"/>
    <w:rsid w:val="00DA307B"/>
    <w:rsid w:val="00DA30C4"/>
    <w:rsid w:val="00DA3BB2"/>
    <w:rsid w:val="00DA402C"/>
    <w:rsid w:val="00DA44F8"/>
    <w:rsid w:val="00DA4A14"/>
    <w:rsid w:val="00DA4E93"/>
    <w:rsid w:val="00DA5DA8"/>
    <w:rsid w:val="00DA61AA"/>
    <w:rsid w:val="00DA638A"/>
    <w:rsid w:val="00DA6632"/>
    <w:rsid w:val="00DA6908"/>
    <w:rsid w:val="00DA70B8"/>
    <w:rsid w:val="00DA73B7"/>
    <w:rsid w:val="00DA74A6"/>
    <w:rsid w:val="00DB0038"/>
    <w:rsid w:val="00DB123F"/>
    <w:rsid w:val="00DB1B94"/>
    <w:rsid w:val="00DB1D79"/>
    <w:rsid w:val="00DB1F29"/>
    <w:rsid w:val="00DB229A"/>
    <w:rsid w:val="00DB2995"/>
    <w:rsid w:val="00DB2A49"/>
    <w:rsid w:val="00DB314C"/>
    <w:rsid w:val="00DB328F"/>
    <w:rsid w:val="00DB3540"/>
    <w:rsid w:val="00DB3FCC"/>
    <w:rsid w:val="00DB4C23"/>
    <w:rsid w:val="00DB4C94"/>
    <w:rsid w:val="00DB52AE"/>
    <w:rsid w:val="00DB52CE"/>
    <w:rsid w:val="00DB57F6"/>
    <w:rsid w:val="00DB5905"/>
    <w:rsid w:val="00DB5D36"/>
    <w:rsid w:val="00DB7C49"/>
    <w:rsid w:val="00DB7D3D"/>
    <w:rsid w:val="00DB7FD7"/>
    <w:rsid w:val="00DC00A8"/>
    <w:rsid w:val="00DC070B"/>
    <w:rsid w:val="00DC0962"/>
    <w:rsid w:val="00DC0AD5"/>
    <w:rsid w:val="00DC0F29"/>
    <w:rsid w:val="00DC125A"/>
    <w:rsid w:val="00DC159B"/>
    <w:rsid w:val="00DC1743"/>
    <w:rsid w:val="00DC1AAA"/>
    <w:rsid w:val="00DC1EB6"/>
    <w:rsid w:val="00DC207C"/>
    <w:rsid w:val="00DC255A"/>
    <w:rsid w:val="00DC3BF5"/>
    <w:rsid w:val="00DC4496"/>
    <w:rsid w:val="00DC47B8"/>
    <w:rsid w:val="00DC524D"/>
    <w:rsid w:val="00DC557E"/>
    <w:rsid w:val="00DC5F54"/>
    <w:rsid w:val="00DC5FC8"/>
    <w:rsid w:val="00DC6A9A"/>
    <w:rsid w:val="00DC7310"/>
    <w:rsid w:val="00DC749A"/>
    <w:rsid w:val="00DC759A"/>
    <w:rsid w:val="00DC7665"/>
    <w:rsid w:val="00DD0B15"/>
    <w:rsid w:val="00DD135B"/>
    <w:rsid w:val="00DD2366"/>
    <w:rsid w:val="00DD27B2"/>
    <w:rsid w:val="00DD29F1"/>
    <w:rsid w:val="00DD2AC6"/>
    <w:rsid w:val="00DD2BBE"/>
    <w:rsid w:val="00DD33F4"/>
    <w:rsid w:val="00DD40FF"/>
    <w:rsid w:val="00DD4CBD"/>
    <w:rsid w:val="00DD4FC3"/>
    <w:rsid w:val="00DD5DA1"/>
    <w:rsid w:val="00DE0495"/>
    <w:rsid w:val="00DE0D10"/>
    <w:rsid w:val="00DE104F"/>
    <w:rsid w:val="00DE197F"/>
    <w:rsid w:val="00DE3856"/>
    <w:rsid w:val="00DE3C11"/>
    <w:rsid w:val="00DE3EC1"/>
    <w:rsid w:val="00DE4702"/>
    <w:rsid w:val="00DE4EC6"/>
    <w:rsid w:val="00DE5290"/>
    <w:rsid w:val="00DE5ADC"/>
    <w:rsid w:val="00DE6634"/>
    <w:rsid w:val="00DE6F8D"/>
    <w:rsid w:val="00DE752C"/>
    <w:rsid w:val="00DE76AC"/>
    <w:rsid w:val="00DF0706"/>
    <w:rsid w:val="00DF0D4F"/>
    <w:rsid w:val="00DF165E"/>
    <w:rsid w:val="00DF1794"/>
    <w:rsid w:val="00DF18B9"/>
    <w:rsid w:val="00DF192E"/>
    <w:rsid w:val="00DF2A29"/>
    <w:rsid w:val="00DF2DAB"/>
    <w:rsid w:val="00DF3510"/>
    <w:rsid w:val="00DF40EA"/>
    <w:rsid w:val="00DF493F"/>
    <w:rsid w:val="00DF4E15"/>
    <w:rsid w:val="00DF56E7"/>
    <w:rsid w:val="00DF5A4B"/>
    <w:rsid w:val="00DF5DEC"/>
    <w:rsid w:val="00DF68F9"/>
    <w:rsid w:val="00DF6FD3"/>
    <w:rsid w:val="00DF75C8"/>
    <w:rsid w:val="00DF7B9A"/>
    <w:rsid w:val="00E002D3"/>
    <w:rsid w:val="00E00FDD"/>
    <w:rsid w:val="00E01D36"/>
    <w:rsid w:val="00E02647"/>
    <w:rsid w:val="00E03231"/>
    <w:rsid w:val="00E03303"/>
    <w:rsid w:val="00E03A86"/>
    <w:rsid w:val="00E03F7B"/>
    <w:rsid w:val="00E05025"/>
    <w:rsid w:val="00E053BE"/>
    <w:rsid w:val="00E05920"/>
    <w:rsid w:val="00E07E8A"/>
    <w:rsid w:val="00E102DE"/>
    <w:rsid w:val="00E10BC1"/>
    <w:rsid w:val="00E10C5E"/>
    <w:rsid w:val="00E10EE5"/>
    <w:rsid w:val="00E11845"/>
    <w:rsid w:val="00E11D13"/>
    <w:rsid w:val="00E1217F"/>
    <w:rsid w:val="00E1286C"/>
    <w:rsid w:val="00E12BAA"/>
    <w:rsid w:val="00E131EF"/>
    <w:rsid w:val="00E138D6"/>
    <w:rsid w:val="00E13B5E"/>
    <w:rsid w:val="00E1425D"/>
    <w:rsid w:val="00E14409"/>
    <w:rsid w:val="00E14B89"/>
    <w:rsid w:val="00E15013"/>
    <w:rsid w:val="00E15227"/>
    <w:rsid w:val="00E15E3D"/>
    <w:rsid w:val="00E15F7A"/>
    <w:rsid w:val="00E16345"/>
    <w:rsid w:val="00E16A76"/>
    <w:rsid w:val="00E16B88"/>
    <w:rsid w:val="00E177E6"/>
    <w:rsid w:val="00E20412"/>
    <w:rsid w:val="00E20ACD"/>
    <w:rsid w:val="00E20CD1"/>
    <w:rsid w:val="00E20F02"/>
    <w:rsid w:val="00E21715"/>
    <w:rsid w:val="00E21966"/>
    <w:rsid w:val="00E21E31"/>
    <w:rsid w:val="00E2255A"/>
    <w:rsid w:val="00E22B0E"/>
    <w:rsid w:val="00E22D36"/>
    <w:rsid w:val="00E22D38"/>
    <w:rsid w:val="00E22FA0"/>
    <w:rsid w:val="00E2315E"/>
    <w:rsid w:val="00E24380"/>
    <w:rsid w:val="00E24FE2"/>
    <w:rsid w:val="00E27D7E"/>
    <w:rsid w:val="00E3000E"/>
    <w:rsid w:val="00E30D39"/>
    <w:rsid w:val="00E31BA9"/>
    <w:rsid w:val="00E33181"/>
    <w:rsid w:val="00E33ACE"/>
    <w:rsid w:val="00E34328"/>
    <w:rsid w:val="00E35060"/>
    <w:rsid w:val="00E351F0"/>
    <w:rsid w:val="00E35766"/>
    <w:rsid w:val="00E36025"/>
    <w:rsid w:val="00E362FC"/>
    <w:rsid w:val="00E36E0A"/>
    <w:rsid w:val="00E372F8"/>
    <w:rsid w:val="00E37614"/>
    <w:rsid w:val="00E37B6A"/>
    <w:rsid w:val="00E37CB8"/>
    <w:rsid w:val="00E37E45"/>
    <w:rsid w:val="00E37EC5"/>
    <w:rsid w:val="00E41506"/>
    <w:rsid w:val="00E42827"/>
    <w:rsid w:val="00E4302A"/>
    <w:rsid w:val="00E43625"/>
    <w:rsid w:val="00E43B47"/>
    <w:rsid w:val="00E44414"/>
    <w:rsid w:val="00E44CE5"/>
    <w:rsid w:val="00E454E4"/>
    <w:rsid w:val="00E462B0"/>
    <w:rsid w:val="00E47078"/>
    <w:rsid w:val="00E47091"/>
    <w:rsid w:val="00E47673"/>
    <w:rsid w:val="00E47B9E"/>
    <w:rsid w:val="00E47C81"/>
    <w:rsid w:val="00E50606"/>
    <w:rsid w:val="00E50C6E"/>
    <w:rsid w:val="00E50D58"/>
    <w:rsid w:val="00E51726"/>
    <w:rsid w:val="00E519CA"/>
    <w:rsid w:val="00E51A4F"/>
    <w:rsid w:val="00E51C9B"/>
    <w:rsid w:val="00E53077"/>
    <w:rsid w:val="00E531E9"/>
    <w:rsid w:val="00E5365B"/>
    <w:rsid w:val="00E53D9B"/>
    <w:rsid w:val="00E53DFF"/>
    <w:rsid w:val="00E53E08"/>
    <w:rsid w:val="00E54B05"/>
    <w:rsid w:val="00E55C96"/>
    <w:rsid w:val="00E55FDC"/>
    <w:rsid w:val="00E56630"/>
    <w:rsid w:val="00E56903"/>
    <w:rsid w:val="00E56FB1"/>
    <w:rsid w:val="00E56FF9"/>
    <w:rsid w:val="00E613D4"/>
    <w:rsid w:val="00E630E5"/>
    <w:rsid w:val="00E634A2"/>
    <w:rsid w:val="00E63DDA"/>
    <w:rsid w:val="00E64048"/>
    <w:rsid w:val="00E64332"/>
    <w:rsid w:val="00E645E4"/>
    <w:rsid w:val="00E64AAC"/>
    <w:rsid w:val="00E67422"/>
    <w:rsid w:val="00E674EA"/>
    <w:rsid w:val="00E70BB9"/>
    <w:rsid w:val="00E718CA"/>
    <w:rsid w:val="00E724BC"/>
    <w:rsid w:val="00E72839"/>
    <w:rsid w:val="00E734EC"/>
    <w:rsid w:val="00E7374B"/>
    <w:rsid w:val="00E7396F"/>
    <w:rsid w:val="00E73EEA"/>
    <w:rsid w:val="00E7469E"/>
    <w:rsid w:val="00E749E3"/>
    <w:rsid w:val="00E753DD"/>
    <w:rsid w:val="00E755A4"/>
    <w:rsid w:val="00E76E1F"/>
    <w:rsid w:val="00E77370"/>
    <w:rsid w:val="00E778E4"/>
    <w:rsid w:val="00E77EF5"/>
    <w:rsid w:val="00E80C87"/>
    <w:rsid w:val="00E80F2C"/>
    <w:rsid w:val="00E81F29"/>
    <w:rsid w:val="00E82D58"/>
    <w:rsid w:val="00E83761"/>
    <w:rsid w:val="00E83835"/>
    <w:rsid w:val="00E85839"/>
    <w:rsid w:val="00E85A4B"/>
    <w:rsid w:val="00E86068"/>
    <w:rsid w:val="00E86A5D"/>
    <w:rsid w:val="00E87326"/>
    <w:rsid w:val="00E87F49"/>
    <w:rsid w:val="00E901E1"/>
    <w:rsid w:val="00E90DBC"/>
    <w:rsid w:val="00E91D3B"/>
    <w:rsid w:val="00E920C3"/>
    <w:rsid w:val="00E9284F"/>
    <w:rsid w:val="00E930A9"/>
    <w:rsid w:val="00E935BA"/>
    <w:rsid w:val="00E93CF0"/>
    <w:rsid w:val="00E947EE"/>
    <w:rsid w:val="00E95431"/>
    <w:rsid w:val="00E95C44"/>
    <w:rsid w:val="00E96716"/>
    <w:rsid w:val="00E968F2"/>
    <w:rsid w:val="00E97465"/>
    <w:rsid w:val="00EA07C4"/>
    <w:rsid w:val="00EA081D"/>
    <w:rsid w:val="00EA0CA0"/>
    <w:rsid w:val="00EA0FF7"/>
    <w:rsid w:val="00EA249F"/>
    <w:rsid w:val="00EA344F"/>
    <w:rsid w:val="00EA3DDA"/>
    <w:rsid w:val="00EA4275"/>
    <w:rsid w:val="00EA4760"/>
    <w:rsid w:val="00EA4BD1"/>
    <w:rsid w:val="00EA4EAB"/>
    <w:rsid w:val="00EA513A"/>
    <w:rsid w:val="00EA530D"/>
    <w:rsid w:val="00EA547B"/>
    <w:rsid w:val="00EA62D2"/>
    <w:rsid w:val="00EA6EB9"/>
    <w:rsid w:val="00EA739C"/>
    <w:rsid w:val="00EA7FB8"/>
    <w:rsid w:val="00EB0934"/>
    <w:rsid w:val="00EB0A1E"/>
    <w:rsid w:val="00EB0CC8"/>
    <w:rsid w:val="00EB14BC"/>
    <w:rsid w:val="00EB1D51"/>
    <w:rsid w:val="00EB1D85"/>
    <w:rsid w:val="00EB1E94"/>
    <w:rsid w:val="00EB2366"/>
    <w:rsid w:val="00EB2D0B"/>
    <w:rsid w:val="00EB2F05"/>
    <w:rsid w:val="00EB37A3"/>
    <w:rsid w:val="00EB3C50"/>
    <w:rsid w:val="00EB4161"/>
    <w:rsid w:val="00EB4B46"/>
    <w:rsid w:val="00EB4D6A"/>
    <w:rsid w:val="00EB4FE5"/>
    <w:rsid w:val="00EB5801"/>
    <w:rsid w:val="00EB582D"/>
    <w:rsid w:val="00EB5EF4"/>
    <w:rsid w:val="00EB64DD"/>
    <w:rsid w:val="00EB7688"/>
    <w:rsid w:val="00EB791F"/>
    <w:rsid w:val="00EB7CA5"/>
    <w:rsid w:val="00EB7D85"/>
    <w:rsid w:val="00EC0F4E"/>
    <w:rsid w:val="00EC13F7"/>
    <w:rsid w:val="00EC1436"/>
    <w:rsid w:val="00EC1B32"/>
    <w:rsid w:val="00EC1BE5"/>
    <w:rsid w:val="00EC20FF"/>
    <w:rsid w:val="00EC24C7"/>
    <w:rsid w:val="00EC2AFB"/>
    <w:rsid w:val="00EC3948"/>
    <w:rsid w:val="00EC3C5C"/>
    <w:rsid w:val="00EC40FF"/>
    <w:rsid w:val="00EC4D09"/>
    <w:rsid w:val="00EC4D31"/>
    <w:rsid w:val="00EC5246"/>
    <w:rsid w:val="00EC5865"/>
    <w:rsid w:val="00EC646D"/>
    <w:rsid w:val="00EC7340"/>
    <w:rsid w:val="00EC77EA"/>
    <w:rsid w:val="00EC7B08"/>
    <w:rsid w:val="00ED0EBE"/>
    <w:rsid w:val="00ED1811"/>
    <w:rsid w:val="00ED1CF4"/>
    <w:rsid w:val="00ED1DBF"/>
    <w:rsid w:val="00ED2311"/>
    <w:rsid w:val="00ED39CD"/>
    <w:rsid w:val="00ED5109"/>
    <w:rsid w:val="00ED5201"/>
    <w:rsid w:val="00ED5298"/>
    <w:rsid w:val="00ED581A"/>
    <w:rsid w:val="00ED6269"/>
    <w:rsid w:val="00ED6706"/>
    <w:rsid w:val="00ED6924"/>
    <w:rsid w:val="00ED7479"/>
    <w:rsid w:val="00EE0022"/>
    <w:rsid w:val="00EE0C3C"/>
    <w:rsid w:val="00EE1D08"/>
    <w:rsid w:val="00EE2339"/>
    <w:rsid w:val="00EE28B4"/>
    <w:rsid w:val="00EE2F2B"/>
    <w:rsid w:val="00EE306A"/>
    <w:rsid w:val="00EE4056"/>
    <w:rsid w:val="00EE4080"/>
    <w:rsid w:val="00EE41BA"/>
    <w:rsid w:val="00EE56BB"/>
    <w:rsid w:val="00EE6551"/>
    <w:rsid w:val="00EE670E"/>
    <w:rsid w:val="00EE6BF9"/>
    <w:rsid w:val="00EE76DF"/>
    <w:rsid w:val="00EE7C42"/>
    <w:rsid w:val="00EF03AD"/>
    <w:rsid w:val="00EF0BF5"/>
    <w:rsid w:val="00EF14A9"/>
    <w:rsid w:val="00EF1E62"/>
    <w:rsid w:val="00EF1FBD"/>
    <w:rsid w:val="00EF23E9"/>
    <w:rsid w:val="00EF2487"/>
    <w:rsid w:val="00EF3914"/>
    <w:rsid w:val="00EF413E"/>
    <w:rsid w:val="00EF4505"/>
    <w:rsid w:val="00EF4926"/>
    <w:rsid w:val="00EF4AAA"/>
    <w:rsid w:val="00EF4D3A"/>
    <w:rsid w:val="00EF50BE"/>
    <w:rsid w:val="00EF55F6"/>
    <w:rsid w:val="00EF5DB6"/>
    <w:rsid w:val="00EF60C6"/>
    <w:rsid w:val="00EF78DB"/>
    <w:rsid w:val="00EF798D"/>
    <w:rsid w:val="00F00355"/>
    <w:rsid w:val="00F00437"/>
    <w:rsid w:val="00F0069E"/>
    <w:rsid w:val="00F02156"/>
    <w:rsid w:val="00F03D0E"/>
    <w:rsid w:val="00F048BB"/>
    <w:rsid w:val="00F0498F"/>
    <w:rsid w:val="00F04F5A"/>
    <w:rsid w:val="00F05313"/>
    <w:rsid w:val="00F058CB"/>
    <w:rsid w:val="00F0609F"/>
    <w:rsid w:val="00F07472"/>
    <w:rsid w:val="00F07BB7"/>
    <w:rsid w:val="00F10465"/>
    <w:rsid w:val="00F1053E"/>
    <w:rsid w:val="00F10651"/>
    <w:rsid w:val="00F1077B"/>
    <w:rsid w:val="00F1310D"/>
    <w:rsid w:val="00F131DD"/>
    <w:rsid w:val="00F1568F"/>
    <w:rsid w:val="00F15709"/>
    <w:rsid w:val="00F15812"/>
    <w:rsid w:val="00F1638D"/>
    <w:rsid w:val="00F17928"/>
    <w:rsid w:val="00F17F73"/>
    <w:rsid w:val="00F17F96"/>
    <w:rsid w:val="00F20AC4"/>
    <w:rsid w:val="00F20D8A"/>
    <w:rsid w:val="00F21863"/>
    <w:rsid w:val="00F21EAD"/>
    <w:rsid w:val="00F225CD"/>
    <w:rsid w:val="00F22C8B"/>
    <w:rsid w:val="00F23E6A"/>
    <w:rsid w:val="00F24674"/>
    <w:rsid w:val="00F246EE"/>
    <w:rsid w:val="00F24768"/>
    <w:rsid w:val="00F248B0"/>
    <w:rsid w:val="00F25F9A"/>
    <w:rsid w:val="00F26CC4"/>
    <w:rsid w:val="00F276C2"/>
    <w:rsid w:val="00F27930"/>
    <w:rsid w:val="00F27DD6"/>
    <w:rsid w:val="00F27E08"/>
    <w:rsid w:val="00F31FED"/>
    <w:rsid w:val="00F32F9C"/>
    <w:rsid w:val="00F32FEE"/>
    <w:rsid w:val="00F341EB"/>
    <w:rsid w:val="00F34BB7"/>
    <w:rsid w:val="00F36034"/>
    <w:rsid w:val="00F36749"/>
    <w:rsid w:val="00F37153"/>
    <w:rsid w:val="00F37833"/>
    <w:rsid w:val="00F40FCF"/>
    <w:rsid w:val="00F414C9"/>
    <w:rsid w:val="00F42B35"/>
    <w:rsid w:val="00F44499"/>
    <w:rsid w:val="00F44D4A"/>
    <w:rsid w:val="00F45963"/>
    <w:rsid w:val="00F46052"/>
    <w:rsid w:val="00F46260"/>
    <w:rsid w:val="00F46F54"/>
    <w:rsid w:val="00F50B39"/>
    <w:rsid w:val="00F51211"/>
    <w:rsid w:val="00F514BC"/>
    <w:rsid w:val="00F51841"/>
    <w:rsid w:val="00F52380"/>
    <w:rsid w:val="00F52A80"/>
    <w:rsid w:val="00F52F3A"/>
    <w:rsid w:val="00F536E2"/>
    <w:rsid w:val="00F53759"/>
    <w:rsid w:val="00F53A56"/>
    <w:rsid w:val="00F53B87"/>
    <w:rsid w:val="00F5534F"/>
    <w:rsid w:val="00F559BD"/>
    <w:rsid w:val="00F55E22"/>
    <w:rsid w:val="00F568B4"/>
    <w:rsid w:val="00F57805"/>
    <w:rsid w:val="00F57919"/>
    <w:rsid w:val="00F605AC"/>
    <w:rsid w:val="00F60987"/>
    <w:rsid w:val="00F61733"/>
    <w:rsid w:val="00F62C57"/>
    <w:rsid w:val="00F631F7"/>
    <w:rsid w:val="00F637C2"/>
    <w:rsid w:val="00F65601"/>
    <w:rsid w:val="00F6595E"/>
    <w:rsid w:val="00F662EB"/>
    <w:rsid w:val="00F67224"/>
    <w:rsid w:val="00F67C1B"/>
    <w:rsid w:val="00F67DE8"/>
    <w:rsid w:val="00F710AF"/>
    <w:rsid w:val="00F712AA"/>
    <w:rsid w:val="00F71E2A"/>
    <w:rsid w:val="00F73F6E"/>
    <w:rsid w:val="00F74125"/>
    <w:rsid w:val="00F7418D"/>
    <w:rsid w:val="00F755CB"/>
    <w:rsid w:val="00F80331"/>
    <w:rsid w:val="00F80D52"/>
    <w:rsid w:val="00F8146A"/>
    <w:rsid w:val="00F817AE"/>
    <w:rsid w:val="00F81DF2"/>
    <w:rsid w:val="00F83593"/>
    <w:rsid w:val="00F8362F"/>
    <w:rsid w:val="00F83FDC"/>
    <w:rsid w:val="00F84132"/>
    <w:rsid w:val="00F8489E"/>
    <w:rsid w:val="00F85092"/>
    <w:rsid w:val="00F869FE"/>
    <w:rsid w:val="00F86B1D"/>
    <w:rsid w:val="00F877A3"/>
    <w:rsid w:val="00F877D7"/>
    <w:rsid w:val="00F87D72"/>
    <w:rsid w:val="00F909D7"/>
    <w:rsid w:val="00F92144"/>
    <w:rsid w:val="00F935A7"/>
    <w:rsid w:val="00F9405F"/>
    <w:rsid w:val="00F943BE"/>
    <w:rsid w:val="00F9689E"/>
    <w:rsid w:val="00F96C0F"/>
    <w:rsid w:val="00F9760A"/>
    <w:rsid w:val="00F97EF5"/>
    <w:rsid w:val="00F97F72"/>
    <w:rsid w:val="00FA042F"/>
    <w:rsid w:val="00FA0561"/>
    <w:rsid w:val="00FA0C2D"/>
    <w:rsid w:val="00FA1272"/>
    <w:rsid w:val="00FA1B5A"/>
    <w:rsid w:val="00FA296B"/>
    <w:rsid w:val="00FA33A1"/>
    <w:rsid w:val="00FA36F2"/>
    <w:rsid w:val="00FA391E"/>
    <w:rsid w:val="00FA3D78"/>
    <w:rsid w:val="00FA3EF3"/>
    <w:rsid w:val="00FA3F88"/>
    <w:rsid w:val="00FA4230"/>
    <w:rsid w:val="00FA42C0"/>
    <w:rsid w:val="00FA63D9"/>
    <w:rsid w:val="00FA6984"/>
    <w:rsid w:val="00FA6A53"/>
    <w:rsid w:val="00FA769E"/>
    <w:rsid w:val="00FB0941"/>
    <w:rsid w:val="00FB0AF0"/>
    <w:rsid w:val="00FB1702"/>
    <w:rsid w:val="00FB20AD"/>
    <w:rsid w:val="00FB236A"/>
    <w:rsid w:val="00FB285D"/>
    <w:rsid w:val="00FB2D52"/>
    <w:rsid w:val="00FB3247"/>
    <w:rsid w:val="00FB3B4A"/>
    <w:rsid w:val="00FB4101"/>
    <w:rsid w:val="00FB4530"/>
    <w:rsid w:val="00FB4EDD"/>
    <w:rsid w:val="00FB5579"/>
    <w:rsid w:val="00FB5B35"/>
    <w:rsid w:val="00FB60E0"/>
    <w:rsid w:val="00FB60E3"/>
    <w:rsid w:val="00FB6303"/>
    <w:rsid w:val="00FB6CA3"/>
    <w:rsid w:val="00FB7975"/>
    <w:rsid w:val="00FB7F1F"/>
    <w:rsid w:val="00FC10B3"/>
    <w:rsid w:val="00FC32D7"/>
    <w:rsid w:val="00FC3C27"/>
    <w:rsid w:val="00FC3D42"/>
    <w:rsid w:val="00FC4B08"/>
    <w:rsid w:val="00FC51DB"/>
    <w:rsid w:val="00FC7114"/>
    <w:rsid w:val="00FC7AA7"/>
    <w:rsid w:val="00FC7AC9"/>
    <w:rsid w:val="00FD015E"/>
    <w:rsid w:val="00FD0800"/>
    <w:rsid w:val="00FD0C55"/>
    <w:rsid w:val="00FD1764"/>
    <w:rsid w:val="00FD32A2"/>
    <w:rsid w:val="00FD3951"/>
    <w:rsid w:val="00FD3A33"/>
    <w:rsid w:val="00FD3C6C"/>
    <w:rsid w:val="00FD3F51"/>
    <w:rsid w:val="00FD4447"/>
    <w:rsid w:val="00FD4768"/>
    <w:rsid w:val="00FD4AA2"/>
    <w:rsid w:val="00FE1BA4"/>
    <w:rsid w:val="00FE2326"/>
    <w:rsid w:val="00FE2BC5"/>
    <w:rsid w:val="00FE5292"/>
    <w:rsid w:val="00FE5F3A"/>
    <w:rsid w:val="00FE62AC"/>
    <w:rsid w:val="00FE65A4"/>
    <w:rsid w:val="00FE6A1A"/>
    <w:rsid w:val="00FE7E7B"/>
    <w:rsid w:val="00FF0651"/>
    <w:rsid w:val="00FF0A0A"/>
    <w:rsid w:val="00FF13AC"/>
    <w:rsid w:val="00FF1C3B"/>
    <w:rsid w:val="00FF1D1D"/>
    <w:rsid w:val="00FF1F60"/>
    <w:rsid w:val="00FF3471"/>
    <w:rsid w:val="00FF353D"/>
    <w:rsid w:val="00FF4316"/>
    <w:rsid w:val="00FF5C5E"/>
    <w:rsid w:val="00FF5F35"/>
    <w:rsid w:val="00FF621E"/>
    <w:rsid w:val="00FF6300"/>
    <w:rsid w:val="00FF6AB4"/>
    <w:rsid w:val="00FF7008"/>
    <w:rsid w:val="00FF712A"/>
    <w:rsid w:val="00FF7B73"/>
    <w:rsid w:val="00FF7BA1"/>
    <w:rsid w:val="00FF7E3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C1897C"/>
  <w15:chartTrackingRefBased/>
  <w15:docId w15:val="{E732441A-FD97-4B57-800D-622F2BF8DC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1887"/>
    <w:pPr>
      <w:spacing w:line="480" w:lineRule="auto"/>
      <w:ind w:firstLine="720"/>
      <w:jc w:val="both"/>
    </w:pPr>
    <w:rPr>
      <w:sz w:val="24"/>
      <w:szCs w:val="22"/>
      <w:lang w:eastAsia="en-US"/>
    </w:rPr>
  </w:style>
  <w:style w:type="paragraph" w:styleId="Ttulo1">
    <w:name w:val="heading 1"/>
    <w:basedOn w:val="Normal"/>
    <w:link w:val="Ttulo1Car"/>
    <w:autoRedefine/>
    <w:uiPriority w:val="9"/>
    <w:qFormat/>
    <w:rsid w:val="005A45A4"/>
    <w:pPr>
      <w:numPr>
        <w:numId w:val="8"/>
      </w:numPr>
      <w:spacing w:before="240" w:after="120"/>
      <w:ind w:left="0" w:firstLine="0"/>
      <w:jc w:val="center"/>
      <w:outlineLvl w:val="0"/>
    </w:pPr>
    <w:rPr>
      <w:rFonts w:cs="Arial"/>
      <w:b/>
      <w:bCs/>
      <w:kern w:val="36"/>
      <w:szCs w:val="24"/>
    </w:rPr>
  </w:style>
  <w:style w:type="paragraph" w:styleId="Ttulo2">
    <w:name w:val="heading 2"/>
    <w:basedOn w:val="Normal"/>
    <w:next w:val="Normal"/>
    <w:link w:val="Ttulo2Car"/>
    <w:uiPriority w:val="9"/>
    <w:unhideWhenUsed/>
    <w:qFormat/>
    <w:rsid w:val="00E16A76"/>
    <w:pPr>
      <w:keepNext/>
      <w:keepLines/>
      <w:numPr>
        <w:ilvl w:val="1"/>
        <w:numId w:val="8"/>
      </w:numPr>
      <w:tabs>
        <w:tab w:val="left" w:pos="567"/>
      </w:tabs>
      <w:spacing w:before="120" w:after="120"/>
      <w:ind w:left="578" w:hanging="578"/>
      <w:outlineLvl w:val="1"/>
    </w:pPr>
    <w:rPr>
      <w:rFonts w:eastAsia="Times New Roman"/>
      <w:b/>
      <w:szCs w:val="26"/>
    </w:rPr>
  </w:style>
  <w:style w:type="paragraph" w:styleId="Ttulo3">
    <w:name w:val="heading 3"/>
    <w:basedOn w:val="Normal"/>
    <w:next w:val="Normal"/>
    <w:link w:val="Ttulo3Car"/>
    <w:uiPriority w:val="9"/>
    <w:unhideWhenUsed/>
    <w:qFormat/>
    <w:rsid w:val="00F67DE8"/>
    <w:pPr>
      <w:keepNext/>
      <w:numPr>
        <w:ilvl w:val="2"/>
        <w:numId w:val="8"/>
      </w:numPr>
      <w:spacing w:before="120" w:after="120"/>
      <w:jc w:val="left"/>
      <w:outlineLvl w:val="2"/>
    </w:pPr>
    <w:rPr>
      <w:rFonts w:eastAsia="Times New Roman"/>
      <w:b/>
      <w:i/>
      <w:szCs w:val="24"/>
    </w:rPr>
  </w:style>
  <w:style w:type="paragraph" w:styleId="Ttulo4">
    <w:name w:val="heading 4"/>
    <w:basedOn w:val="Normal"/>
    <w:next w:val="Normal"/>
    <w:link w:val="Ttulo4Car"/>
    <w:uiPriority w:val="9"/>
    <w:unhideWhenUsed/>
    <w:qFormat/>
    <w:rsid w:val="00047348"/>
    <w:pPr>
      <w:numPr>
        <w:ilvl w:val="3"/>
        <w:numId w:val="8"/>
      </w:numPr>
      <w:outlineLvl w:val="3"/>
    </w:pPr>
    <w:rPr>
      <w:b/>
      <w:bCs/>
      <w:iCs/>
      <w:color w:val="000000"/>
    </w:rPr>
  </w:style>
  <w:style w:type="paragraph" w:styleId="Ttulo5">
    <w:name w:val="heading 5"/>
    <w:basedOn w:val="Ttulo4"/>
    <w:next w:val="Normal"/>
    <w:link w:val="Ttulo5Car"/>
    <w:uiPriority w:val="9"/>
    <w:unhideWhenUsed/>
    <w:qFormat/>
    <w:rsid w:val="00047348"/>
    <w:pPr>
      <w:numPr>
        <w:ilvl w:val="4"/>
      </w:numPr>
      <w:spacing w:before="240"/>
      <w:outlineLvl w:val="4"/>
    </w:pPr>
    <w:rPr>
      <w:b w:val="0"/>
      <w:bCs w:val="0"/>
    </w:rPr>
  </w:style>
  <w:style w:type="paragraph" w:styleId="Ttulo6">
    <w:name w:val="heading 6"/>
    <w:basedOn w:val="Normal"/>
    <w:next w:val="Normal"/>
    <w:link w:val="Ttulo6Car"/>
    <w:uiPriority w:val="9"/>
    <w:unhideWhenUsed/>
    <w:qFormat/>
    <w:rsid w:val="009367BF"/>
    <w:pPr>
      <w:numPr>
        <w:ilvl w:val="5"/>
        <w:numId w:val="6"/>
      </w:numPr>
      <w:spacing w:before="240" w:after="60"/>
      <w:outlineLvl w:val="5"/>
    </w:pPr>
    <w:rPr>
      <w:rFonts w:ascii="Calibri" w:eastAsia="Times New Roman" w:hAnsi="Calibri"/>
      <w:b/>
      <w:bCs/>
      <w:sz w:val="22"/>
    </w:rPr>
  </w:style>
  <w:style w:type="paragraph" w:styleId="Ttulo7">
    <w:name w:val="heading 7"/>
    <w:basedOn w:val="Normal"/>
    <w:next w:val="Normal"/>
    <w:link w:val="Ttulo7Car"/>
    <w:uiPriority w:val="9"/>
    <w:semiHidden/>
    <w:unhideWhenUsed/>
    <w:qFormat/>
    <w:rsid w:val="009367BF"/>
    <w:pPr>
      <w:numPr>
        <w:ilvl w:val="6"/>
        <w:numId w:val="6"/>
      </w:numPr>
      <w:spacing w:before="240" w:after="60"/>
      <w:outlineLvl w:val="6"/>
    </w:pPr>
    <w:rPr>
      <w:rFonts w:ascii="Calibri" w:eastAsia="Times New Roman" w:hAnsi="Calibri"/>
      <w:szCs w:val="24"/>
    </w:rPr>
  </w:style>
  <w:style w:type="paragraph" w:styleId="Ttulo8">
    <w:name w:val="heading 8"/>
    <w:basedOn w:val="Normal"/>
    <w:next w:val="Normal"/>
    <w:link w:val="Ttulo8Car"/>
    <w:uiPriority w:val="9"/>
    <w:semiHidden/>
    <w:unhideWhenUsed/>
    <w:qFormat/>
    <w:rsid w:val="009367BF"/>
    <w:pPr>
      <w:numPr>
        <w:ilvl w:val="7"/>
        <w:numId w:val="6"/>
      </w:numPr>
      <w:spacing w:before="240" w:after="60"/>
      <w:outlineLvl w:val="7"/>
    </w:pPr>
    <w:rPr>
      <w:rFonts w:ascii="Calibri" w:eastAsia="Times New Roman" w:hAnsi="Calibri"/>
      <w:i/>
      <w:iCs/>
      <w:szCs w:val="24"/>
    </w:rPr>
  </w:style>
  <w:style w:type="paragraph" w:styleId="Ttulo9">
    <w:name w:val="heading 9"/>
    <w:basedOn w:val="Normal"/>
    <w:next w:val="Normal"/>
    <w:link w:val="Ttulo9Car"/>
    <w:uiPriority w:val="9"/>
    <w:semiHidden/>
    <w:unhideWhenUsed/>
    <w:qFormat/>
    <w:rsid w:val="009367BF"/>
    <w:pPr>
      <w:numPr>
        <w:ilvl w:val="8"/>
        <w:numId w:val="6"/>
      </w:numPr>
      <w:spacing w:before="240" w:after="60"/>
      <w:outlineLvl w:val="8"/>
    </w:pPr>
    <w:rPr>
      <w:rFonts w:ascii="Calibri Light" w:eastAsia="Times New Roman" w:hAnsi="Calibri Light"/>
      <w:sz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link w:val="PrrafodelistaCar"/>
    <w:uiPriority w:val="34"/>
    <w:qFormat/>
    <w:rsid w:val="00683152"/>
    <w:pPr>
      <w:numPr>
        <w:numId w:val="9"/>
      </w:numPr>
      <w:contextualSpacing/>
      <w:jc w:val="left"/>
    </w:pPr>
    <w:rPr>
      <w:szCs w:val="24"/>
    </w:rPr>
  </w:style>
  <w:style w:type="paragraph" w:styleId="TDC1">
    <w:name w:val="toc 1"/>
    <w:basedOn w:val="Normal"/>
    <w:next w:val="Normal"/>
    <w:autoRedefine/>
    <w:uiPriority w:val="39"/>
    <w:unhideWhenUsed/>
    <w:rsid w:val="00700A87"/>
    <w:pPr>
      <w:tabs>
        <w:tab w:val="left" w:pos="426"/>
        <w:tab w:val="right" w:leader="dot" w:pos="9356"/>
      </w:tabs>
      <w:ind w:firstLine="0"/>
      <w:jc w:val="left"/>
    </w:pPr>
    <w:rPr>
      <w:bCs/>
      <w:iCs/>
      <w:szCs w:val="24"/>
    </w:rPr>
  </w:style>
  <w:style w:type="character" w:customStyle="1" w:styleId="Ttulo3Car">
    <w:name w:val="Título 3 Car"/>
    <w:link w:val="Ttulo3"/>
    <w:uiPriority w:val="9"/>
    <w:rsid w:val="00F67DE8"/>
    <w:rPr>
      <w:rFonts w:eastAsia="Times New Roman"/>
      <w:b/>
      <w:i/>
      <w:sz w:val="24"/>
      <w:szCs w:val="24"/>
      <w:lang w:eastAsia="en-US"/>
    </w:rPr>
  </w:style>
  <w:style w:type="character" w:customStyle="1" w:styleId="Ttulo2Car">
    <w:name w:val="Título 2 Car"/>
    <w:link w:val="Ttulo2"/>
    <w:uiPriority w:val="9"/>
    <w:rsid w:val="00E16A76"/>
    <w:rPr>
      <w:rFonts w:eastAsia="Times New Roman"/>
      <w:b/>
      <w:sz w:val="24"/>
      <w:szCs w:val="26"/>
      <w:lang w:eastAsia="en-US"/>
    </w:rPr>
  </w:style>
  <w:style w:type="paragraph" w:styleId="Sinespaciado">
    <w:name w:val="No Spacing"/>
    <w:aliases w:val="APA NORMAL,Referencias,AutorP"/>
    <w:link w:val="SinespaciadoCar"/>
    <w:uiPriority w:val="1"/>
    <w:qFormat/>
    <w:rsid w:val="0052213C"/>
    <w:pPr>
      <w:spacing w:line="480" w:lineRule="auto"/>
      <w:ind w:firstLine="720"/>
      <w:jc w:val="both"/>
    </w:pPr>
    <w:rPr>
      <w:bCs/>
      <w:sz w:val="24"/>
      <w:szCs w:val="22"/>
      <w:lang w:eastAsia="en-US"/>
    </w:rPr>
  </w:style>
  <w:style w:type="character" w:customStyle="1" w:styleId="Ttulo1Car">
    <w:name w:val="Título 1 Car"/>
    <w:link w:val="Ttulo1"/>
    <w:uiPriority w:val="9"/>
    <w:rsid w:val="005A45A4"/>
    <w:rPr>
      <w:rFonts w:cs="Arial"/>
      <w:b/>
      <w:bCs/>
      <w:kern w:val="36"/>
      <w:sz w:val="24"/>
      <w:szCs w:val="24"/>
      <w:lang w:eastAsia="en-US"/>
    </w:rPr>
  </w:style>
  <w:style w:type="paragraph" w:styleId="Encabezado">
    <w:name w:val="header"/>
    <w:basedOn w:val="Normal"/>
    <w:link w:val="EncabezadoCar"/>
    <w:uiPriority w:val="99"/>
    <w:unhideWhenUsed/>
    <w:rsid w:val="00AE640C"/>
    <w:pPr>
      <w:tabs>
        <w:tab w:val="center" w:pos="4419"/>
        <w:tab w:val="right" w:pos="8838"/>
      </w:tabs>
    </w:pPr>
  </w:style>
  <w:style w:type="character" w:customStyle="1" w:styleId="EncabezadoCar">
    <w:name w:val="Encabezado Car"/>
    <w:basedOn w:val="Fuentedeprrafopredeter"/>
    <w:link w:val="Encabezado"/>
    <w:uiPriority w:val="99"/>
    <w:rsid w:val="00AE640C"/>
  </w:style>
  <w:style w:type="paragraph" w:styleId="Piedepgina">
    <w:name w:val="footer"/>
    <w:basedOn w:val="Listaconnmeros"/>
    <w:link w:val="PiedepginaCar"/>
    <w:autoRedefine/>
    <w:uiPriority w:val="99"/>
    <w:unhideWhenUsed/>
    <w:rsid w:val="00AE640C"/>
    <w:pPr>
      <w:tabs>
        <w:tab w:val="center" w:pos="4419"/>
        <w:tab w:val="right" w:pos="8838"/>
      </w:tabs>
    </w:pPr>
  </w:style>
  <w:style w:type="character" w:customStyle="1" w:styleId="PiedepginaCar">
    <w:name w:val="Pie de página Car"/>
    <w:link w:val="Piedepgina"/>
    <w:uiPriority w:val="99"/>
    <w:rsid w:val="00587AE9"/>
    <w:rPr>
      <w:sz w:val="24"/>
      <w:szCs w:val="22"/>
      <w:lang w:eastAsia="en-US"/>
    </w:rPr>
  </w:style>
  <w:style w:type="character" w:customStyle="1" w:styleId="Ttulo4Car">
    <w:name w:val="Título 4 Car"/>
    <w:link w:val="Ttulo4"/>
    <w:uiPriority w:val="9"/>
    <w:rsid w:val="00047348"/>
    <w:rPr>
      <w:b/>
      <w:bCs/>
      <w:iCs/>
      <w:color w:val="000000"/>
      <w:sz w:val="24"/>
      <w:szCs w:val="22"/>
      <w:lang w:eastAsia="en-US"/>
    </w:rPr>
  </w:style>
  <w:style w:type="paragraph" w:styleId="Ttulo">
    <w:name w:val="Title"/>
    <w:aliases w:val="Puesto,Titulo 5"/>
    <w:basedOn w:val="Normal"/>
    <w:next w:val="Normal"/>
    <w:link w:val="TtuloCar"/>
    <w:uiPriority w:val="10"/>
    <w:qFormat/>
    <w:rsid w:val="00576A53"/>
    <w:pPr>
      <w:contextualSpacing/>
    </w:pPr>
    <w:rPr>
      <w:rFonts w:eastAsia="Times New Roman"/>
      <w:i/>
      <w:color w:val="000000"/>
      <w:spacing w:val="-10"/>
      <w:kern w:val="28"/>
      <w:szCs w:val="56"/>
    </w:rPr>
  </w:style>
  <w:style w:type="character" w:customStyle="1" w:styleId="TtuloCar">
    <w:name w:val="Título Car"/>
    <w:aliases w:val="Puesto Car,Titulo 5 Car"/>
    <w:link w:val="Ttulo"/>
    <w:uiPriority w:val="10"/>
    <w:rsid w:val="00576A53"/>
    <w:rPr>
      <w:rFonts w:eastAsia="Times New Roman" w:cs="Times New Roman"/>
      <w:i/>
      <w:color w:val="000000"/>
      <w:spacing w:val="-10"/>
      <w:kern w:val="28"/>
      <w:szCs w:val="56"/>
    </w:rPr>
  </w:style>
  <w:style w:type="paragraph" w:styleId="TtuloTDC">
    <w:name w:val="TOC Heading"/>
    <w:basedOn w:val="Descripcin"/>
    <w:next w:val="Normal"/>
    <w:uiPriority w:val="39"/>
    <w:unhideWhenUsed/>
    <w:qFormat/>
    <w:rsid w:val="006807B2"/>
    <w:rPr>
      <w:b w:val="0"/>
      <w:bCs w:val="0"/>
      <w:i/>
      <w:iCs/>
    </w:rPr>
  </w:style>
  <w:style w:type="paragraph" w:styleId="TDC2">
    <w:name w:val="toc 2"/>
    <w:basedOn w:val="Normal"/>
    <w:next w:val="Normal"/>
    <w:autoRedefine/>
    <w:uiPriority w:val="39"/>
    <w:unhideWhenUsed/>
    <w:rsid w:val="00696AB5"/>
    <w:pPr>
      <w:tabs>
        <w:tab w:val="left" w:pos="426"/>
        <w:tab w:val="right" w:leader="dot" w:pos="9356"/>
      </w:tabs>
      <w:ind w:firstLine="0"/>
      <w:jc w:val="left"/>
    </w:pPr>
    <w:rPr>
      <w:rFonts w:cs="Calibri"/>
      <w:bCs/>
    </w:rPr>
  </w:style>
  <w:style w:type="paragraph" w:styleId="TDC3">
    <w:name w:val="toc 3"/>
    <w:basedOn w:val="Normal"/>
    <w:next w:val="Normal"/>
    <w:autoRedefine/>
    <w:uiPriority w:val="39"/>
    <w:unhideWhenUsed/>
    <w:rsid w:val="00696AB5"/>
    <w:pPr>
      <w:tabs>
        <w:tab w:val="left" w:pos="426"/>
        <w:tab w:val="left" w:pos="709"/>
        <w:tab w:val="right" w:leader="dot" w:pos="9356"/>
      </w:tabs>
      <w:ind w:firstLine="0"/>
      <w:jc w:val="left"/>
    </w:pPr>
    <w:rPr>
      <w:rFonts w:cs="Calibri"/>
      <w:szCs w:val="20"/>
    </w:rPr>
  </w:style>
  <w:style w:type="character" w:styleId="Hipervnculo">
    <w:name w:val="Hyperlink"/>
    <w:uiPriority w:val="99"/>
    <w:unhideWhenUsed/>
    <w:rsid w:val="00784CB2"/>
    <w:rPr>
      <w:color w:val="0563C1"/>
      <w:u w:val="single"/>
    </w:rPr>
  </w:style>
  <w:style w:type="paragraph" w:styleId="Textonotapie">
    <w:name w:val="footnote text"/>
    <w:basedOn w:val="Normal"/>
    <w:link w:val="TextonotapieCar"/>
    <w:uiPriority w:val="99"/>
    <w:unhideWhenUsed/>
    <w:rsid w:val="002C44EF"/>
    <w:rPr>
      <w:sz w:val="20"/>
      <w:szCs w:val="20"/>
    </w:rPr>
  </w:style>
  <w:style w:type="character" w:customStyle="1" w:styleId="TextonotapieCar">
    <w:name w:val="Texto nota pie Car"/>
    <w:link w:val="Textonotapie"/>
    <w:uiPriority w:val="99"/>
    <w:rsid w:val="002C44EF"/>
    <w:rPr>
      <w:lang w:eastAsia="en-US"/>
    </w:rPr>
  </w:style>
  <w:style w:type="character" w:styleId="Refdenotaalpie">
    <w:name w:val="footnote reference"/>
    <w:uiPriority w:val="99"/>
    <w:unhideWhenUsed/>
    <w:rsid w:val="00587AE9"/>
    <w:rPr>
      <w:vertAlign w:val="superscript"/>
    </w:rPr>
  </w:style>
  <w:style w:type="character" w:customStyle="1" w:styleId="Ttulo5Car">
    <w:name w:val="Título 5 Car"/>
    <w:link w:val="Ttulo5"/>
    <w:uiPriority w:val="9"/>
    <w:rsid w:val="00047348"/>
    <w:rPr>
      <w:iCs/>
      <w:color w:val="000000"/>
      <w:sz w:val="24"/>
      <w:szCs w:val="22"/>
      <w:lang w:eastAsia="en-US"/>
    </w:rPr>
  </w:style>
  <w:style w:type="table" w:styleId="Tablaconcuadrcula">
    <w:name w:val="Table Grid"/>
    <w:basedOn w:val="Tablanormal"/>
    <w:uiPriority w:val="39"/>
    <w:rsid w:val="004D7920"/>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connmeros">
    <w:name w:val="List Number"/>
    <w:basedOn w:val="Normal"/>
    <w:uiPriority w:val="99"/>
    <w:semiHidden/>
    <w:unhideWhenUsed/>
    <w:rsid w:val="00587AE9"/>
    <w:pPr>
      <w:numPr>
        <w:numId w:val="1"/>
      </w:numPr>
      <w:contextualSpacing/>
    </w:pPr>
  </w:style>
  <w:style w:type="table" w:styleId="Tabladelista6concolores">
    <w:name w:val="List Table 6 Colorful"/>
    <w:basedOn w:val="Tablanormal"/>
    <w:uiPriority w:val="51"/>
    <w:rsid w:val="004D7920"/>
    <w:rPr>
      <w:rFonts w:ascii="Calibri" w:hAnsi="Calibri"/>
      <w:color w:val="000000"/>
      <w:sz w:val="22"/>
      <w:szCs w:val="22"/>
      <w:lang w:eastAsia="en-US"/>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efault">
    <w:name w:val="Default"/>
    <w:link w:val="DefaultCar"/>
    <w:rsid w:val="004D7920"/>
    <w:pPr>
      <w:autoSpaceDE w:val="0"/>
      <w:autoSpaceDN w:val="0"/>
      <w:adjustRightInd w:val="0"/>
    </w:pPr>
    <w:rPr>
      <w:rFonts w:ascii="Gill Sans MT" w:hAnsi="Gill Sans MT" w:cs="Gill Sans MT"/>
      <w:color w:val="000000"/>
      <w:sz w:val="24"/>
      <w:szCs w:val="24"/>
      <w:lang w:eastAsia="en-US"/>
    </w:rPr>
  </w:style>
  <w:style w:type="paragraph" w:styleId="Bibliografa">
    <w:name w:val="Bibliography"/>
    <w:basedOn w:val="Normal"/>
    <w:next w:val="Normal"/>
    <w:uiPriority w:val="37"/>
    <w:unhideWhenUsed/>
    <w:rsid w:val="004D7920"/>
    <w:pPr>
      <w:spacing w:after="160" w:line="259" w:lineRule="auto"/>
      <w:ind w:firstLine="0"/>
      <w:jc w:val="left"/>
    </w:pPr>
    <w:rPr>
      <w:rFonts w:ascii="Calibri" w:hAnsi="Calibri"/>
      <w:sz w:val="22"/>
    </w:rPr>
  </w:style>
  <w:style w:type="paragraph" w:styleId="Descripcin">
    <w:name w:val="caption"/>
    <w:aliases w:val="Fig Título"/>
    <w:basedOn w:val="Normal"/>
    <w:next w:val="Normal"/>
    <w:link w:val="DescripcinCar"/>
    <w:uiPriority w:val="35"/>
    <w:unhideWhenUsed/>
    <w:qFormat/>
    <w:rsid w:val="006807B2"/>
    <w:pPr>
      <w:keepNext/>
      <w:spacing w:after="200" w:line="240" w:lineRule="auto"/>
      <w:ind w:firstLine="0"/>
      <w:jc w:val="left"/>
    </w:pPr>
    <w:rPr>
      <w:b/>
      <w:bCs/>
      <w:szCs w:val="24"/>
    </w:rPr>
  </w:style>
  <w:style w:type="character" w:customStyle="1" w:styleId="Ttulo6Car">
    <w:name w:val="Título 6 Car"/>
    <w:link w:val="Ttulo6"/>
    <w:uiPriority w:val="9"/>
    <w:rsid w:val="009367BF"/>
    <w:rPr>
      <w:rFonts w:ascii="Calibri" w:eastAsia="Times New Roman" w:hAnsi="Calibri"/>
      <w:b/>
      <w:bCs/>
      <w:sz w:val="22"/>
      <w:szCs w:val="22"/>
      <w:lang w:eastAsia="en-US"/>
    </w:rPr>
  </w:style>
  <w:style w:type="character" w:customStyle="1" w:styleId="Ttulo7Car">
    <w:name w:val="Título 7 Car"/>
    <w:link w:val="Ttulo7"/>
    <w:uiPriority w:val="9"/>
    <w:semiHidden/>
    <w:rsid w:val="009367BF"/>
    <w:rPr>
      <w:rFonts w:ascii="Calibri" w:eastAsia="Times New Roman" w:hAnsi="Calibri"/>
      <w:sz w:val="24"/>
      <w:szCs w:val="24"/>
      <w:lang w:eastAsia="en-US"/>
    </w:rPr>
  </w:style>
  <w:style w:type="character" w:customStyle="1" w:styleId="Ttulo8Car">
    <w:name w:val="Título 8 Car"/>
    <w:link w:val="Ttulo8"/>
    <w:uiPriority w:val="9"/>
    <w:semiHidden/>
    <w:rsid w:val="009367BF"/>
    <w:rPr>
      <w:rFonts w:ascii="Calibri" w:eastAsia="Times New Roman" w:hAnsi="Calibri"/>
      <w:i/>
      <w:iCs/>
      <w:sz w:val="24"/>
      <w:szCs w:val="24"/>
      <w:lang w:eastAsia="en-US"/>
    </w:rPr>
  </w:style>
  <w:style w:type="character" w:customStyle="1" w:styleId="Ttulo9Car">
    <w:name w:val="Título 9 Car"/>
    <w:link w:val="Ttulo9"/>
    <w:uiPriority w:val="9"/>
    <w:semiHidden/>
    <w:rsid w:val="009367BF"/>
    <w:rPr>
      <w:rFonts w:ascii="Calibri Light" w:eastAsia="Times New Roman" w:hAnsi="Calibri Light"/>
      <w:sz w:val="22"/>
      <w:szCs w:val="22"/>
      <w:lang w:eastAsia="en-US"/>
    </w:rPr>
  </w:style>
  <w:style w:type="numbering" w:customStyle="1" w:styleId="Estilo1">
    <w:name w:val="Estilo1"/>
    <w:uiPriority w:val="99"/>
    <w:rsid w:val="009367BF"/>
    <w:pPr>
      <w:numPr>
        <w:numId w:val="2"/>
      </w:numPr>
    </w:pPr>
  </w:style>
  <w:style w:type="numbering" w:customStyle="1" w:styleId="Estilo2">
    <w:name w:val="Estilo2"/>
    <w:uiPriority w:val="99"/>
    <w:rsid w:val="00515C45"/>
    <w:pPr>
      <w:numPr>
        <w:numId w:val="3"/>
      </w:numPr>
    </w:pPr>
  </w:style>
  <w:style w:type="numbering" w:customStyle="1" w:styleId="Estilo3">
    <w:name w:val="Estilo3"/>
    <w:uiPriority w:val="99"/>
    <w:rsid w:val="00515C45"/>
    <w:pPr>
      <w:numPr>
        <w:numId w:val="4"/>
      </w:numPr>
    </w:pPr>
  </w:style>
  <w:style w:type="table" w:customStyle="1" w:styleId="Tabladelista6concolores1">
    <w:name w:val="Tabla de lista 6 con colores1"/>
    <w:basedOn w:val="Tablanormal"/>
    <w:next w:val="Tabladelista6concolores"/>
    <w:uiPriority w:val="51"/>
    <w:rsid w:val="00DA17A2"/>
    <w:rPr>
      <w:rFonts w:ascii="Calibri" w:hAnsi="Calibri"/>
      <w:color w:val="000000"/>
      <w:sz w:val="22"/>
      <w:szCs w:val="22"/>
      <w:lang w:eastAsia="en-US"/>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Textodeglobo">
    <w:name w:val="Balloon Text"/>
    <w:basedOn w:val="Normal"/>
    <w:link w:val="TextodegloboCar"/>
    <w:uiPriority w:val="99"/>
    <w:semiHidden/>
    <w:unhideWhenUsed/>
    <w:rsid w:val="000E153B"/>
    <w:pPr>
      <w:spacing w:line="240" w:lineRule="auto"/>
    </w:pPr>
    <w:rPr>
      <w:rFonts w:ascii="Segoe UI" w:hAnsi="Segoe UI" w:cs="Segoe UI"/>
      <w:sz w:val="18"/>
      <w:szCs w:val="18"/>
    </w:rPr>
  </w:style>
  <w:style w:type="character" w:customStyle="1" w:styleId="TextodegloboCar">
    <w:name w:val="Texto de globo Car"/>
    <w:link w:val="Textodeglobo"/>
    <w:uiPriority w:val="99"/>
    <w:semiHidden/>
    <w:rsid w:val="000E153B"/>
    <w:rPr>
      <w:rFonts w:ascii="Segoe UI" w:hAnsi="Segoe UI" w:cs="Segoe UI"/>
      <w:sz w:val="18"/>
      <w:szCs w:val="18"/>
      <w:lang w:eastAsia="en-US"/>
    </w:rPr>
  </w:style>
  <w:style w:type="table" w:customStyle="1" w:styleId="Tablaconcuadrcula1">
    <w:name w:val="Tabla con cuadrícula1"/>
    <w:basedOn w:val="Tablanormal"/>
    <w:next w:val="Tablaconcuadrcula"/>
    <w:uiPriority w:val="39"/>
    <w:rsid w:val="00A2568E"/>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190EF7"/>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rsid w:val="00117D70"/>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39"/>
    <w:rsid w:val="00AD0E04"/>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1">
    <w:name w:val="Tabla normal 21"/>
    <w:basedOn w:val="Tablanormal"/>
    <w:next w:val="Tablanormal2"/>
    <w:uiPriority w:val="42"/>
    <w:rsid w:val="00AD0E04"/>
    <w:rPr>
      <w:rFonts w:ascii="Calibri" w:hAnsi="Calibri"/>
      <w:sz w:val="22"/>
      <w:szCs w:val="22"/>
      <w:lang w:eastAsia="en-U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anormal51">
    <w:name w:val="Tabla normal 51"/>
    <w:basedOn w:val="Tablanormal"/>
    <w:next w:val="Tablanormal5"/>
    <w:uiPriority w:val="45"/>
    <w:rsid w:val="00AD0E04"/>
    <w:rPr>
      <w:rFonts w:ascii="Calibri" w:hAnsi="Calibri"/>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normal2">
    <w:name w:val="Plain Table 2"/>
    <w:basedOn w:val="Tablanormal"/>
    <w:uiPriority w:val="42"/>
    <w:rsid w:val="00AD0E0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Tablanormal5">
    <w:name w:val="Plain Table 5"/>
    <w:basedOn w:val="Tablanormal"/>
    <w:uiPriority w:val="45"/>
    <w:rsid w:val="00AD0E0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decuadrcula4-nfasis61">
    <w:name w:val="Tabla de cuadrícula 4 - Énfasis 61"/>
    <w:basedOn w:val="Tablanormal"/>
    <w:next w:val="Tabladecuadrcula4-nfasis6"/>
    <w:uiPriority w:val="49"/>
    <w:rsid w:val="0036586C"/>
    <w:rPr>
      <w:rFonts w:ascii="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4-nfasis6">
    <w:name w:val="Tabla de cuadrícula 4 - Énfasis 6"/>
    <w:basedOn w:val="Tablanormal"/>
    <w:uiPriority w:val="49"/>
    <w:rsid w:val="0036586C"/>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concuadrcula5">
    <w:name w:val="Tabla con cuadrícula5"/>
    <w:basedOn w:val="Tablanormal"/>
    <w:next w:val="Tablaconcuadrcula"/>
    <w:uiPriority w:val="39"/>
    <w:rsid w:val="00E2315E"/>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uiPriority w:val="39"/>
    <w:rsid w:val="00E2315E"/>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sid w:val="001704E8"/>
    <w:rPr>
      <w:sz w:val="16"/>
      <w:szCs w:val="16"/>
    </w:rPr>
  </w:style>
  <w:style w:type="paragraph" w:styleId="Textocomentario">
    <w:name w:val="annotation text"/>
    <w:basedOn w:val="Normal"/>
    <w:link w:val="TextocomentarioCar"/>
    <w:uiPriority w:val="99"/>
    <w:unhideWhenUsed/>
    <w:rsid w:val="001704E8"/>
    <w:rPr>
      <w:sz w:val="20"/>
      <w:szCs w:val="20"/>
    </w:rPr>
  </w:style>
  <w:style w:type="character" w:customStyle="1" w:styleId="TextocomentarioCar">
    <w:name w:val="Texto comentario Car"/>
    <w:link w:val="Textocomentario"/>
    <w:uiPriority w:val="99"/>
    <w:rsid w:val="001704E8"/>
    <w:rPr>
      <w:lang w:val="es-CO"/>
    </w:rPr>
  </w:style>
  <w:style w:type="paragraph" w:styleId="Asuntodelcomentario">
    <w:name w:val="annotation subject"/>
    <w:basedOn w:val="Textocomentario"/>
    <w:next w:val="Textocomentario"/>
    <w:link w:val="AsuntodelcomentarioCar"/>
    <w:uiPriority w:val="99"/>
    <w:semiHidden/>
    <w:unhideWhenUsed/>
    <w:rsid w:val="001704E8"/>
    <w:rPr>
      <w:b/>
      <w:bCs/>
    </w:rPr>
  </w:style>
  <w:style w:type="character" w:customStyle="1" w:styleId="AsuntodelcomentarioCar">
    <w:name w:val="Asunto del comentario Car"/>
    <w:link w:val="Asuntodelcomentario"/>
    <w:uiPriority w:val="99"/>
    <w:semiHidden/>
    <w:rsid w:val="001704E8"/>
    <w:rPr>
      <w:b/>
      <w:bCs/>
      <w:lang w:val="es-CO"/>
    </w:rPr>
  </w:style>
  <w:style w:type="paragraph" w:customStyle="1" w:styleId="paragraph">
    <w:name w:val="paragraph"/>
    <w:basedOn w:val="Normal"/>
    <w:rsid w:val="004052D6"/>
    <w:pPr>
      <w:spacing w:before="100" w:beforeAutospacing="1" w:after="100" w:afterAutospacing="1" w:line="240" w:lineRule="auto"/>
      <w:ind w:firstLine="0"/>
      <w:jc w:val="left"/>
    </w:pPr>
    <w:rPr>
      <w:rFonts w:eastAsia="Times New Roman"/>
      <w:szCs w:val="24"/>
      <w:lang w:eastAsia="es-CO"/>
    </w:rPr>
  </w:style>
  <w:style w:type="character" w:customStyle="1" w:styleId="normaltextrun">
    <w:name w:val="normaltextrun"/>
    <w:rsid w:val="004052D6"/>
  </w:style>
  <w:style w:type="character" w:customStyle="1" w:styleId="eop">
    <w:name w:val="eop"/>
    <w:rsid w:val="004052D6"/>
  </w:style>
  <w:style w:type="table" w:customStyle="1" w:styleId="Tablaconcuadrcula6">
    <w:name w:val="Tabla con cuadrícula6"/>
    <w:basedOn w:val="Tablanormal"/>
    <w:next w:val="Tablaconcuadrcula"/>
    <w:uiPriority w:val="39"/>
    <w:rsid w:val="00CA3B56"/>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CE03B5"/>
    <w:pPr>
      <w:spacing w:before="100" w:beforeAutospacing="1" w:after="100" w:afterAutospacing="1" w:line="240" w:lineRule="auto"/>
      <w:ind w:firstLine="0"/>
      <w:jc w:val="left"/>
    </w:pPr>
    <w:rPr>
      <w:rFonts w:eastAsia="Times New Roman"/>
      <w:szCs w:val="24"/>
      <w:lang w:eastAsia="es-CO"/>
    </w:rPr>
  </w:style>
  <w:style w:type="character" w:styleId="Textoennegrita">
    <w:name w:val="Strong"/>
    <w:uiPriority w:val="22"/>
    <w:qFormat/>
    <w:rsid w:val="00CE03B5"/>
    <w:rPr>
      <w:b/>
      <w:bCs/>
    </w:rPr>
  </w:style>
  <w:style w:type="paragraph" w:styleId="TDC4">
    <w:name w:val="toc 4"/>
    <w:basedOn w:val="Normal"/>
    <w:next w:val="Normal"/>
    <w:autoRedefine/>
    <w:uiPriority w:val="39"/>
    <w:unhideWhenUsed/>
    <w:rsid w:val="00DB3FCC"/>
    <w:pPr>
      <w:ind w:left="720"/>
      <w:jc w:val="left"/>
    </w:pPr>
    <w:rPr>
      <w:rFonts w:ascii="Calibri" w:hAnsi="Calibri" w:cs="Calibri"/>
      <w:sz w:val="20"/>
      <w:szCs w:val="20"/>
    </w:rPr>
  </w:style>
  <w:style w:type="paragraph" w:styleId="TDC5">
    <w:name w:val="toc 5"/>
    <w:basedOn w:val="Normal"/>
    <w:next w:val="Normal"/>
    <w:autoRedefine/>
    <w:uiPriority w:val="39"/>
    <w:unhideWhenUsed/>
    <w:rsid w:val="00DB3FCC"/>
    <w:pPr>
      <w:ind w:left="960"/>
      <w:jc w:val="left"/>
    </w:pPr>
    <w:rPr>
      <w:rFonts w:ascii="Calibri" w:hAnsi="Calibri" w:cs="Calibri"/>
      <w:sz w:val="20"/>
      <w:szCs w:val="20"/>
    </w:rPr>
  </w:style>
  <w:style w:type="paragraph" w:styleId="TDC6">
    <w:name w:val="toc 6"/>
    <w:basedOn w:val="Normal"/>
    <w:next w:val="Normal"/>
    <w:autoRedefine/>
    <w:uiPriority w:val="39"/>
    <w:unhideWhenUsed/>
    <w:rsid w:val="00DB3FCC"/>
    <w:pPr>
      <w:ind w:left="1200"/>
      <w:jc w:val="left"/>
    </w:pPr>
    <w:rPr>
      <w:rFonts w:ascii="Calibri" w:hAnsi="Calibri" w:cs="Calibri"/>
      <w:sz w:val="20"/>
      <w:szCs w:val="20"/>
    </w:rPr>
  </w:style>
  <w:style w:type="paragraph" w:styleId="TDC7">
    <w:name w:val="toc 7"/>
    <w:basedOn w:val="Normal"/>
    <w:next w:val="Normal"/>
    <w:autoRedefine/>
    <w:uiPriority w:val="39"/>
    <w:unhideWhenUsed/>
    <w:rsid w:val="00DB3FCC"/>
    <w:pPr>
      <w:ind w:left="1440"/>
      <w:jc w:val="left"/>
    </w:pPr>
    <w:rPr>
      <w:rFonts w:ascii="Calibri" w:hAnsi="Calibri" w:cs="Calibri"/>
      <w:sz w:val="20"/>
      <w:szCs w:val="20"/>
    </w:rPr>
  </w:style>
  <w:style w:type="paragraph" w:styleId="TDC8">
    <w:name w:val="toc 8"/>
    <w:basedOn w:val="Normal"/>
    <w:next w:val="Normal"/>
    <w:autoRedefine/>
    <w:uiPriority w:val="39"/>
    <w:unhideWhenUsed/>
    <w:rsid w:val="00DB3FCC"/>
    <w:pPr>
      <w:ind w:left="1680"/>
      <w:jc w:val="left"/>
    </w:pPr>
    <w:rPr>
      <w:rFonts w:ascii="Calibri" w:hAnsi="Calibri" w:cs="Calibri"/>
      <w:sz w:val="20"/>
      <w:szCs w:val="20"/>
    </w:rPr>
  </w:style>
  <w:style w:type="paragraph" w:styleId="TDC9">
    <w:name w:val="toc 9"/>
    <w:basedOn w:val="Normal"/>
    <w:next w:val="Normal"/>
    <w:autoRedefine/>
    <w:uiPriority w:val="39"/>
    <w:unhideWhenUsed/>
    <w:rsid w:val="00DB3FCC"/>
    <w:pPr>
      <w:ind w:left="1920"/>
      <w:jc w:val="left"/>
    </w:pPr>
    <w:rPr>
      <w:rFonts w:ascii="Calibri" w:hAnsi="Calibri" w:cs="Calibri"/>
      <w:sz w:val="20"/>
      <w:szCs w:val="20"/>
    </w:rPr>
  </w:style>
  <w:style w:type="table" w:styleId="Tablanormal3">
    <w:name w:val="Plain Table 3"/>
    <w:basedOn w:val="Tablanormal"/>
    <w:uiPriority w:val="43"/>
    <w:rsid w:val="00A35585"/>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Tabladeilustraciones">
    <w:name w:val="table of figures"/>
    <w:basedOn w:val="Normal"/>
    <w:next w:val="Normal"/>
    <w:uiPriority w:val="99"/>
    <w:unhideWhenUsed/>
    <w:rsid w:val="00A34433"/>
    <w:pPr>
      <w:ind w:firstLine="0"/>
      <w:jc w:val="left"/>
    </w:pPr>
  </w:style>
  <w:style w:type="table" w:customStyle="1" w:styleId="Cuadrculadetablaclara">
    <w:name w:val="Cuadrícula de tabla clara"/>
    <w:basedOn w:val="Tablanormal"/>
    <w:uiPriority w:val="40"/>
    <w:rsid w:val="00857EB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adelista2-nfasis3">
    <w:name w:val="List Table 2 Accent 3"/>
    <w:basedOn w:val="Tablanormal"/>
    <w:uiPriority w:val="47"/>
    <w:rsid w:val="00857EB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numbering" w:customStyle="1" w:styleId="Sinlista1">
    <w:name w:val="Sin lista1"/>
    <w:next w:val="Sinlista"/>
    <w:uiPriority w:val="99"/>
    <w:semiHidden/>
    <w:unhideWhenUsed/>
    <w:rsid w:val="0080257A"/>
  </w:style>
  <w:style w:type="table" w:customStyle="1" w:styleId="Tablanormal41">
    <w:name w:val="Tabla normal 41"/>
    <w:basedOn w:val="Tablanormal"/>
    <w:next w:val="Tablanormal4"/>
    <w:uiPriority w:val="44"/>
    <w:rsid w:val="0080257A"/>
    <w:pPr>
      <w:ind w:firstLine="720"/>
    </w:pPr>
    <w:rPr>
      <w:rFonts w:ascii="Calibri" w:hAnsi="Calibri"/>
      <w:sz w:val="22"/>
      <w:szCs w:val="22"/>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Mencinsinresolver1">
    <w:name w:val="Mención sin resolver1"/>
    <w:uiPriority w:val="99"/>
    <w:semiHidden/>
    <w:unhideWhenUsed/>
    <w:rsid w:val="0080257A"/>
    <w:rPr>
      <w:color w:val="605E5C"/>
      <w:shd w:val="clear" w:color="auto" w:fill="E1DFDD"/>
    </w:rPr>
  </w:style>
  <w:style w:type="table" w:styleId="Tablanormal4">
    <w:name w:val="Plain Table 4"/>
    <w:basedOn w:val="Tablanormal"/>
    <w:uiPriority w:val="44"/>
    <w:rsid w:val="0080257A"/>
    <w:rPr>
      <w:rFonts w:ascii="Calibri" w:hAnsi="Calibri"/>
      <w:sz w:val="22"/>
      <w:szCs w:val="22"/>
      <w:lang w:val="es-E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Textonotaalfinal">
    <w:name w:val="endnote text"/>
    <w:basedOn w:val="Normal"/>
    <w:link w:val="TextonotaalfinalCar"/>
    <w:uiPriority w:val="99"/>
    <w:semiHidden/>
    <w:unhideWhenUsed/>
    <w:rsid w:val="00DB314C"/>
    <w:rPr>
      <w:sz w:val="20"/>
      <w:szCs w:val="20"/>
    </w:rPr>
  </w:style>
  <w:style w:type="character" w:customStyle="1" w:styleId="TextonotaalfinalCar">
    <w:name w:val="Texto nota al final Car"/>
    <w:link w:val="Textonotaalfinal"/>
    <w:uiPriority w:val="99"/>
    <w:semiHidden/>
    <w:rsid w:val="00DB314C"/>
    <w:rPr>
      <w:lang w:eastAsia="en-US"/>
    </w:rPr>
  </w:style>
  <w:style w:type="character" w:styleId="Refdenotaalfinal">
    <w:name w:val="endnote reference"/>
    <w:uiPriority w:val="99"/>
    <w:semiHidden/>
    <w:unhideWhenUsed/>
    <w:rsid w:val="00DB314C"/>
    <w:rPr>
      <w:vertAlign w:val="superscript"/>
    </w:rPr>
  </w:style>
  <w:style w:type="table" w:styleId="Tablanormal1">
    <w:name w:val="Plain Table 1"/>
    <w:basedOn w:val="Tablanormal"/>
    <w:uiPriority w:val="41"/>
    <w:rsid w:val="00201301"/>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styleId="nfasis">
    <w:name w:val="Emphasis"/>
    <w:uiPriority w:val="20"/>
    <w:qFormat/>
    <w:rsid w:val="007B2923"/>
    <w:rPr>
      <w:i/>
      <w:iCs/>
    </w:rPr>
  </w:style>
  <w:style w:type="table" w:customStyle="1" w:styleId="Tablanormal42">
    <w:name w:val="Tabla normal 42"/>
    <w:basedOn w:val="Tablanormal"/>
    <w:next w:val="Tablanormal4"/>
    <w:uiPriority w:val="44"/>
    <w:rsid w:val="001A6B11"/>
    <w:rPr>
      <w:rFonts w:ascii="Calibri" w:hAnsi="Calibri"/>
      <w:sz w:val="22"/>
      <w:szCs w:val="22"/>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anormal43">
    <w:name w:val="Tabla normal 43"/>
    <w:basedOn w:val="Tablanormal"/>
    <w:next w:val="Tablanormal4"/>
    <w:uiPriority w:val="44"/>
    <w:rsid w:val="00CC5051"/>
    <w:rPr>
      <w:rFonts w:ascii="Calibri" w:hAnsi="Calibri"/>
      <w:sz w:val="22"/>
      <w:szCs w:val="22"/>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adecuadrcula2">
    <w:name w:val="Grid Table 2"/>
    <w:basedOn w:val="Tablanormal"/>
    <w:uiPriority w:val="47"/>
    <w:rsid w:val="0094466A"/>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DefaultCar">
    <w:name w:val="Default Car"/>
    <w:link w:val="Default"/>
    <w:rsid w:val="009B4720"/>
    <w:rPr>
      <w:rFonts w:ascii="Gill Sans MT" w:hAnsi="Gill Sans MT" w:cs="Gill Sans MT"/>
      <w:color w:val="000000"/>
      <w:sz w:val="24"/>
      <w:szCs w:val="24"/>
      <w:lang w:eastAsia="en-US"/>
    </w:rPr>
  </w:style>
  <w:style w:type="paragraph" w:customStyle="1" w:styleId="UNO">
    <w:name w:val="UNO"/>
    <w:basedOn w:val="Default"/>
    <w:link w:val="UNOCar"/>
    <w:qFormat/>
    <w:rsid w:val="009B4720"/>
    <w:pPr>
      <w:numPr>
        <w:numId w:val="5"/>
      </w:numPr>
    </w:pPr>
    <w:rPr>
      <w:rFonts w:ascii="Calibri" w:hAnsi="Calibri" w:cs="Calibri"/>
      <w:b/>
      <w:bCs/>
    </w:rPr>
  </w:style>
  <w:style w:type="paragraph" w:customStyle="1" w:styleId="DOS">
    <w:name w:val="DOS"/>
    <w:basedOn w:val="Default"/>
    <w:link w:val="DOSCar"/>
    <w:rsid w:val="009B4720"/>
    <w:pPr>
      <w:numPr>
        <w:ilvl w:val="1"/>
        <w:numId w:val="5"/>
      </w:numPr>
    </w:pPr>
    <w:rPr>
      <w:rFonts w:ascii="Calibri" w:hAnsi="Calibri" w:cs="Calibri"/>
      <w:b/>
      <w:bCs/>
    </w:rPr>
  </w:style>
  <w:style w:type="character" w:customStyle="1" w:styleId="UNOCar">
    <w:name w:val="UNO Car"/>
    <w:link w:val="UNO"/>
    <w:rsid w:val="009B4720"/>
    <w:rPr>
      <w:rFonts w:ascii="Calibri" w:hAnsi="Calibri" w:cs="Calibri"/>
      <w:b/>
      <w:bCs/>
      <w:color w:val="000000"/>
      <w:sz w:val="24"/>
      <w:szCs w:val="24"/>
      <w:lang w:eastAsia="en-US"/>
    </w:rPr>
  </w:style>
  <w:style w:type="character" w:customStyle="1" w:styleId="DOSCar">
    <w:name w:val="DOS Car"/>
    <w:link w:val="DOS"/>
    <w:rsid w:val="009B4720"/>
    <w:rPr>
      <w:rFonts w:ascii="Calibri" w:hAnsi="Calibri" w:cs="Calibri"/>
      <w:b/>
      <w:bCs/>
      <w:color w:val="000000"/>
      <w:sz w:val="24"/>
      <w:szCs w:val="24"/>
      <w:lang w:eastAsia="en-US"/>
    </w:rPr>
  </w:style>
  <w:style w:type="character" w:styleId="Textodelmarcadordeposicin">
    <w:name w:val="Placeholder Text"/>
    <w:uiPriority w:val="99"/>
    <w:semiHidden/>
    <w:rsid w:val="009B4720"/>
    <w:rPr>
      <w:color w:val="808080"/>
    </w:rPr>
  </w:style>
  <w:style w:type="numbering" w:customStyle="1" w:styleId="APApuntuada">
    <w:name w:val="APA puntuada"/>
    <w:uiPriority w:val="99"/>
    <w:rsid w:val="001B62C6"/>
    <w:pPr>
      <w:numPr>
        <w:numId w:val="7"/>
      </w:numPr>
    </w:pPr>
  </w:style>
  <w:style w:type="character" w:customStyle="1" w:styleId="PrrafodelistaCar">
    <w:name w:val="Párrafo de lista Car"/>
    <w:link w:val="Prrafodelista"/>
    <w:uiPriority w:val="34"/>
    <w:rsid w:val="00683152"/>
    <w:rPr>
      <w:sz w:val="24"/>
      <w:szCs w:val="24"/>
      <w:lang w:eastAsia="en-US"/>
    </w:rPr>
  </w:style>
  <w:style w:type="character" w:styleId="Mencinsinresolver">
    <w:name w:val="Unresolved Mention"/>
    <w:uiPriority w:val="99"/>
    <w:semiHidden/>
    <w:unhideWhenUsed/>
    <w:rsid w:val="00652B94"/>
    <w:rPr>
      <w:color w:val="605E5C"/>
      <w:shd w:val="clear" w:color="auto" w:fill="E1DFDD"/>
    </w:rPr>
  </w:style>
  <w:style w:type="character" w:customStyle="1" w:styleId="SinespaciadoCar">
    <w:name w:val="Sin espaciado Car"/>
    <w:aliases w:val="APA NORMAL Car,Referencias Car,AutorP Car"/>
    <w:link w:val="Sinespaciado"/>
    <w:uiPriority w:val="1"/>
    <w:rsid w:val="0052213C"/>
    <w:rPr>
      <w:bCs/>
      <w:sz w:val="24"/>
      <w:szCs w:val="22"/>
      <w:lang w:eastAsia="en-US"/>
    </w:rPr>
  </w:style>
  <w:style w:type="paragraph" w:customStyle="1" w:styleId="FigyTablas">
    <w:name w:val="Fig y Tablas"/>
    <w:basedOn w:val="Normal"/>
    <w:link w:val="FigyTablasCar"/>
    <w:qFormat/>
    <w:rsid w:val="00925652"/>
    <w:pPr>
      <w:spacing w:line="240" w:lineRule="auto"/>
      <w:ind w:firstLine="0"/>
      <w:jc w:val="center"/>
    </w:pPr>
    <w:rPr>
      <w:noProof/>
      <w:lang w:eastAsia="es-CO"/>
    </w:rPr>
  </w:style>
  <w:style w:type="character" w:customStyle="1" w:styleId="FigyTablasCar">
    <w:name w:val="Fig y Tablas Car"/>
    <w:basedOn w:val="Fuentedeprrafopredeter"/>
    <w:link w:val="FigyTablas"/>
    <w:rsid w:val="00925652"/>
    <w:rPr>
      <w:noProof/>
      <w:sz w:val="24"/>
      <w:szCs w:val="22"/>
    </w:rPr>
  </w:style>
  <w:style w:type="character" w:styleId="CdigoHTML">
    <w:name w:val="HTML Code"/>
    <w:basedOn w:val="Fuentedeprrafopredeter"/>
    <w:uiPriority w:val="99"/>
    <w:semiHidden/>
    <w:unhideWhenUsed/>
    <w:rsid w:val="00B67620"/>
    <w:rPr>
      <w:rFonts w:ascii="Courier New" w:eastAsia="Times New Roman" w:hAnsi="Courier New" w:cs="Courier New"/>
      <w:sz w:val="20"/>
      <w:szCs w:val="20"/>
    </w:rPr>
  </w:style>
  <w:style w:type="paragraph" w:customStyle="1" w:styleId="Titulosinnum">
    <w:name w:val="Titulo sin num"/>
    <w:basedOn w:val="Normal"/>
    <w:link w:val="TitulosinnumCar"/>
    <w:qFormat/>
    <w:rsid w:val="00696AB5"/>
    <w:pPr>
      <w:ind w:firstLine="0"/>
      <w:jc w:val="center"/>
    </w:pPr>
    <w:rPr>
      <w:b/>
    </w:rPr>
  </w:style>
  <w:style w:type="character" w:customStyle="1" w:styleId="TitulosinnumCar">
    <w:name w:val="Titulo sin num Car"/>
    <w:basedOn w:val="Fuentedeprrafopredeter"/>
    <w:link w:val="Titulosinnum"/>
    <w:rsid w:val="00696AB5"/>
    <w:rPr>
      <w:b/>
      <w:sz w:val="24"/>
      <w:szCs w:val="22"/>
      <w:lang w:eastAsia="en-US"/>
    </w:rPr>
  </w:style>
  <w:style w:type="paragraph" w:customStyle="1" w:styleId="Nuevalista">
    <w:name w:val="Nueva lista"/>
    <w:basedOn w:val="Prrafodelista"/>
    <w:link w:val="NuevalistaCar"/>
    <w:qFormat/>
    <w:rsid w:val="00683152"/>
    <w:pPr>
      <w:numPr>
        <w:numId w:val="10"/>
      </w:numPr>
    </w:pPr>
  </w:style>
  <w:style w:type="character" w:customStyle="1" w:styleId="NuevalistaCar">
    <w:name w:val="Nueva lista Car"/>
    <w:basedOn w:val="PrrafodelistaCar"/>
    <w:link w:val="Nuevalista"/>
    <w:rsid w:val="00683152"/>
    <w:rPr>
      <w:sz w:val="24"/>
      <w:szCs w:val="24"/>
      <w:lang w:eastAsia="en-US"/>
    </w:rPr>
  </w:style>
  <w:style w:type="character" w:customStyle="1" w:styleId="DescripcinCar">
    <w:name w:val="Descripción Car"/>
    <w:aliases w:val="Fig Título Car"/>
    <w:basedOn w:val="Fuentedeprrafopredeter"/>
    <w:link w:val="Descripcin"/>
    <w:uiPriority w:val="35"/>
    <w:rsid w:val="009577AB"/>
    <w:rPr>
      <w:b/>
      <w:bCs/>
      <w:sz w:val="24"/>
      <w:szCs w:val="24"/>
      <w:lang w:eastAsia="en-US"/>
    </w:rPr>
  </w:style>
  <w:style w:type="paragraph" w:styleId="z-Principiodelformulario">
    <w:name w:val="HTML Top of Form"/>
    <w:basedOn w:val="Normal"/>
    <w:next w:val="Normal"/>
    <w:link w:val="z-PrincipiodelformularioCar"/>
    <w:hidden/>
    <w:uiPriority w:val="99"/>
    <w:semiHidden/>
    <w:unhideWhenUsed/>
    <w:rsid w:val="00101059"/>
    <w:pPr>
      <w:pBdr>
        <w:bottom w:val="single" w:sz="6" w:space="1" w:color="auto"/>
      </w:pBdr>
      <w:spacing w:line="240" w:lineRule="auto"/>
      <w:ind w:firstLine="0"/>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sid w:val="00101059"/>
    <w:rPr>
      <w:rFonts w:ascii="Arial" w:eastAsia="Times New Roman" w:hAnsi="Arial" w:cs="Arial"/>
      <w:vanish/>
      <w:sz w:val="16"/>
      <w:szCs w:val="16"/>
    </w:rPr>
  </w:style>
  <w:style w:type="paragraph" w:customStyle="1" w:styleId="placeholder">
    <w:name w:val="placeholder"/>
    <w:basedOn w:val="Normal"/>
    <w:rsid w:val="00101059"/>
    <w:pPr>
      <w:spacing w:before="100" w:beforeAutospacing="1" w:after="100" w:afterAutospacing="1" w:line="240" w:lineRule="auto"/>
      <w:ind w:firstLine="0"/>
      <w:jc w:val="left"/>
    </w:pPr>
    <w:rPr>
      <w:rFonts w:eastAsia="Times New Roman"/>
      <w:szCs w:val="24"/>
      <w:lang w:eastAsia="es-CO"/>
    </w:rPr>
  </w:style>
  <w:style w:type="paragraph" w:styleId="z-Finaldelformulario">
    <w:name w:val="HTML Bottom of Form"/>
    <w:basedOn w:val="Normal"/>
    <w:next w:val="Normal"/>
    <w:link w:val="z-FinaldelformularioCar"/>
    <w:hidden/>
    <w:uiPriority w:val="99"/>
    <w:semiHidden/>
    <w:unhideWhenUsed/>
    <w:rsid w:val="00101059"/>
    <w:pPr>
      <w:pBdr>
        <w:top w:val="single" w:sz="6" w:space="1" w:color="auto"/>
      </w:pBdr>
      <w:spacing w:line="240" w:lineRule="auto"/>
      <w:ind w:firstLine="0"/>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sid w:val="00101059"/>
    <w:rPr>
      <w:rFonts w:ascii="Arial" w:eastAsia="Times New Roman" w:hAnsi="Arial" w:cs="Arial"/>
      <w:vanish/>
      <w:sz w:val="16"/>
      <w:szCs w:val="16"/>
    </w:rPr>
  </w:style>
  <w:style w:type="character" w:customStyle="1" w:styleId="relative">
    <w:name w:val="relative"/>
    <w:basedOn w:val="Fuentedeprrafopredeter"/>
    <w:rsid w:val="00101059"/>
  </w:style>
  <w:style w:type="paragraph" w:customStyle="1" w:styleId="not-prose">
    <w:name w:val="not-prose"/>
    <w:basedOn w:val="Normal"/>
    <w:rsid w:val="00101059"/>
    <w:pPr>
      <w:spacing w:before="100" w:beforeAutospacing="1" w:after="100" w:afterAutospacing="1" w:line="240" w:lineRule="auto"/>
      <w:ind w:firstLine="0"/>
      <w:jc w:val="left"/>
    </w:pPr>
    <w:rPr>
      <w:rFonts w:eastAsia="Times New Roman"/>
      <w:szCs w:val="24"/>
      <w:lang w:eastAsia="es-CO"/>
    </w:rPr>
  </w:style>
  <w:style w:type="character" w:customStyle="1" w:styleId="ms-1">
    <w:name w:val="ms-1"/>
    <w:basedOn w:val="Fuentedeprrafopredeter"/>
    <w:rsid w:val="00101059"/>
  </w:style>
  <w:style w:type="character" w:customStyle="1" w:styleId="max-w-15ch">
    <w:name w:val="max-w-[15ch]"/>
    <w:basedOn w:val="Fuentedeprrafopredeter"/>
    <w:rsid w:val="00101059"/>
  </w:style>
  <w:style w:type="paragraph" w:customStyle="1" w:styleId="TitulodeTablasyFig">
    <w:name w:val="Titulo de Tablas y Fig"/>
    <w:basedOn w:val="Descripcin"/>
    <w:link w:val="TitulodeTablasyFigCar"/>
    <w:qFormat/>
    <w:rsid w:val="00101059"/>
    <w:pPr>
      <w:spacing w:after="0" w:line="480" w:lineRule="auto"/>
    </w:pPr>
    <w:rPr>
      <w:lang w:eastAsia="es-CO"/>
    </w:rPr>
  </w:style>
  <w:style w:type="character" w:customStyle="1" w:styleId="TitulodeTablasyFigCar">
    <w:name w:val="Titulo de Tablas y Fig Car"/>
    <w:basedOn w:val="Fuentedeprrafopredeter"/>
    <w:link w:val="TitulodeTablasyFig"/>
    <w:rsid w:val="00101059"/>
    <w:rPr>
      <w:b/>
      <w:bCs/>
      <w:sz w:val="24"/>
      <w:szCs w:val="24"/>
    </w:rPr>
  </w:style>
  <w:style w:type="paragraph" w:customStyle="1" w:styleId="SubtitulodeTablasyFig">
    <w:name w:val="Subtitulo de Tablas y Fig"/>
    <w:basedOn w:val="TitulodeTablasyFig"/>
    <w:link w:val="SubtitulodeTablasyFigCar"/>
    <w:qFormat/>
    <w:rsid w:val="00101059"/>
    <w:pPr>
      <w:spacing w:line="240" w:lineRule="auto"/>
    </w:pPr>
    <w:rPr>
      <w:bCs w:val="0"/>
      <w:i/>
    </w:rPr>
  </w:style>
  <w:style w:type="character" w:customStyle="1" w:styleId="SubtitulodeTablasyFigCar">
    <w:name w:val="Subtitulo de Tablas y Fig Car"/>
    <w:basedOn w:val="TitulodeTablasyFigCar"/>
    <w:link w:val="SubtitulodeTablasyFig"/>
    <w:rsid w:val="00101059"/>
    <w:rPr>
      <w:b/>
      <w:bCs w:val="0"/>
      <w:i/>
      <w:sz w:val="24"/>
      <w:szCs w:val="24"/>
    </w:rPr>
  </w:style>
  <w:style w:type="paragraph" w:customStyle="1" w:styleId="TablasyFig">
    <w:name w:val="Tablas y Fig"/>
    <w:link w:val="TablasyFigCar"/>
    <w:qFormat/>
    <w:rsid w:val="00101059"/>
    <w:pPr>
      <w:widowControl w:val="0"/>
      <w:jc w:val="center"/>
    </w:pPr>
    <w:rPr>
      <w:rFonts w:eastAsia="Times New Roman"/>
      <w:szCs w:val="24"/>
    </w:rPr>
  </w:style>
  <w:style w:type="character" w:customStyle="1" w:styleId="TablasyFigCar">
    <w:name w:val="Tablas y Fig Car"/>
    <w:basedOn w:val="Fuentedeprrafopredeter"/>
    <w:link w:val="TablasyFig"/>
    <w:rsid w:val="00101059"/>
    <w:rPr>
      <w:rFonts w:eastAsia="Times New Roman"/>
      <w:szCs w:val="24"/>
    </w:rPr>
  </w:style>
  <w:style w:type="table" w:customStyle="1" w:styleId="Tabladelista6concolores2">
    <w:name w:val="Tabla de lista 6 con colores2"/>
    <w:basedOn w:val="Tablanormal"/>
    <w:next w:val="Tabladelista6concolores"/>
    <w:uiPriority w:val="51"/>
    <w:rsid w:val="00101059"/>
    <w:pPr>
      <w:jc w:val="center"/>
    </w:pPr>
    <w:rPr>
      <w:rFonts w:eastAsia="Montserrat"/>
      <w:color w:val="000000" w:themeColor="text1"/>
      <w:szCs w:val="24"/>
    </w:rPr>
    <w:tblPr>
      <w:tblStyleRowBandSize w:val="1"/>
      <w:tblStyleColBandSize w:val="1"/>
      <w:tblBorders>
        <w:top w:val="single" w:sz="4" w:space="0" w:color="auto"/>
        <w:bottom w:val="single" w:sz="4" w:space="0" w:color="auto"/>
      </w:tblBorders>
    </w:tblPr>
    <w:tcPr>
      <w:vAlign w:val="center"/>
    </w:tc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52515">
      <w:bodyDiv w:val="1"/>
      <w:marLeft w:val="0"/>
      <w:marRight w:val="0"/>
      <w:marTop w:val="0"/>
      <w:marBottom w:val="0"/>
      <w:divBdr>
        <w:top w:val="none" w:sz="0" w:space="0" w:color="auto"/>
        <w:left w:val="none" w:sz="0" w:space="0" w:color="auto"/>
        <w:bottom w:val="none" w:sz="0" w:space="0" w:color="auto"/>
        <w:right w:val="none" w:sz="0" w:space="0" w:color="auto"/>
      </w:divBdr>
    </w:div>
    <w:div w:id="14307034">
      <w:bodyDiv w:val="1"/>
      <w:marLeft w:val="0"/>
      <w:marRight w:val="0"/>
      <w:marTop w:val="0"/>
      <w:marBottom w:val="0"/>
      <w:divBdr>
        <w:top w:val="none" w:sz="0" w:space="0" w:color="auto"/>
        <w:left w:val="none" w:sz="0" w:space="0" w:color="auto"/>
        <w:bottom w:val="none" w:sz="0" w:space="0" w:color="auto"/>
        <w:right w:val="none" w:sz="0" w:space="0" w:color="auto"/>
      </w:divBdr>
      <w:divsChild>
        <w:div w:id="649096727">
          <w:marLeft w:val="0"/>
          <w:marRight w:val="0"/>
          <w:marTop w:val="0"/>
          <w:marBottom w:val="0"/>
          <w:divBdr>
            <w:top w:val="none" w:sz="0" w:space="0" w:color="auto"/>
            <w:left w:val="none" w:sz="0" w:space="0" w:color="auto"/>
            <w:bottom w:val="none" w:sz="0" w:space="0" w:color="auto"/>
            <w:right w:val="none" w:sz="0" w:space="0" w:color="auto"/>
          </w:divBdr>
          <w:divsChild>
            <w:div w:id="1464927667">
              <w:marLeft w:val="0"/>
              <w:marRight w:val="0"/>
              <w:marTop w:val="0"/>
              <w:marBottom w:val="0"/>
              <w:divBdr>
                <w:top w:val="none" w:sz="0" w:space="0" w:color="auto"/>
                <w:left w:val="none" w:sz="0" w:space="0" w:color="auto"/>
                <w:bottom w:val="none" w:sz="0" w:space="0" w:color="auto"/>
                <w:right w:val="none" w:sz="0" w:space="0" w:color="auto"/>
              </w:divBdr>
              <w:divsChild>
                <w:div w:id="2068411973">
                  <w:marLeft w:val="0"/>
                  <w:marRight w:val="0"/>
                  <w:marTop w:val="0"/>
                  <w:marBottom w:val="0"/>
                  <w:divBdr>
                    <w:top w:val="none" w:sz="0" w:space="0" w:color="auto"/>
                    <w:left w:val="none" w:sz="0" w:space="0" w:color="auto"/>
                    <w:bottom w:val="none" w:sz="0" w:space="0" w:color="auto"/>
                    <w:right w:val="none" w:sz="0" w:space="0" w:color="auto"/>
                  </w:divBdr>
                  <w:divsChild>
                    <w:div w:id="50286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411206">
      <w:bodyDiv w:val="1"/>
      <w:marLeft w:val="0"/>
      <w:marRight w:val="0"/>
      <w:marTop w:val="0"/>
      <w:marBottom w:val="0"/>
      <w:divBdr>
        <w:top w:val="none" w:sz="0" w:space="0" w:color="auto"/>
        <w:left w:val="none" w:sz="0" w:space="0" w:color="auto"/>
        <w:bottom w:val="none" w:sz="0" w:space="0" w:color="auto"/>
        <w:right w:val="none" w:sz="0" w:space="0" w:color="auto"/>
      </w:divBdr>
    </w:div>
    <w:div w:id="62873222">
      <w:bodyDiv w:val="1"/>
      <w:marLeft w:val="0"/>
      <w:marRight w:val="0"/>
      <w:marTop w:val="0"/>
      <w:marBottom w:val="0"/>
      <w:divBdr>
        <w:top w:val="none" w:sz="0" w:space="0" w:color="auto"/>
        <w:left w:val="none" w:sz="0" w:space="0" w:color="auto"/>
        <w:bottom w:val="none" w:sz="0" w:space="0" w:color="auto"/>
        <w:right w:val="none" w:sz="0" w:space="0" w:color="auto"/>
      </w:divBdr>
    </w:div>
    <w:div w:id="65763836">
      <w:bodyDiv w:val="1"/>
      <w:marLeft w:val="0"/>
      <w:marRight w:val="0"/>
      <w:marTop w:val="0"/>
      <w:marBottom w:val="0"/>
      <w:divBdr>
        <w:top w:val="none" w:sz="0" w:space="0" w:color="auto"/>
        <w:left w:val="none" w:sz="0" w:space="0" w:color="auto"/>
        <w:bottom w:val="none" w:sz="0" w:space="0" w:color="auto"/>
        <w:right w:val="none" w:sz="0" w:space="0" w:color="auto"/>
      </w:divBdr>
    </w:div>
    <w:div w:id="69738484">
      <w:bodyDiv w:val="1"/>
      <w:marLeft w:val="0"/>
      <w:marRight w:val="0"/>
      <w:marTop w:val="0"/>
      <w:marBottom w:val="0"/>
      <w:divBdr>
        <w:top w:val="none" w:sz="0" w:space="0" w:color="auto"/>
        <w:left w:val="none" w:sz="0" w:space="0" w:color="auto"/>
        <w:bottom w:val="none" w:sz="0" w:space="0" w:color="auto"/>
        <w:right w:val="none" w:sz="0" w:space="0" w:color="auto"/>
      </w:divBdr>
    </w:div>
    <w:div w:id="71702682">
      <w:bodyDiv w:val="1"/>
      <w:marLeft w:val="0"/>
      <w:marRight w:val="0"/>
      <w:marTop w:val="0"/>
      <w:marBottom w:val="0"/>
      <w:divBdr>
        <w:top w:val="none" w:sz="0" w:space="0" w:color="auto"/>
        <w:left w:val="none" w:sz="0" w:space="0" w:color="auto"/>
        <w:bottom w:val="none" w:sz="0" w:space="0" w:color="auto"/>
        <w:right w:val="none" w:sz="0" w:space="0" w:color="auto"/>
      </w:divBdr>
    </w:div>
    <w:div w:id="76053346">
      <w:bodyDiv w:val="1"/>
      <w:marLeft w:val="0"/>
      <w:marRight w:val="0"/>
      <w:marTop w:val="0"/>
      <w:marBottom w:val="0"/>
      <w:divBdr>
        <w:top w:val="none" w:sz="0" w:space="0" w:color="auto"/>
        <w:left w:val="none" w:sz="0" w:space="0" w:color="auto"/>
        <w:bottom w:val="none" w:sz="0" w:space="0" w:color="auto"/>
        <w:right w:val="none" w:sz="0" w:space="0" w:color="auto"/>
      </w:divBdr>
    </w:div>
    <w:div w:id="77481060">
      <w:bodyDiv w:val="1"/>
      <w:marLeft w:val="0"/>
      <w:marRight w:val="0"/>
      <w:marTop w:val="0"/>
      <w:marBottom w:val="0"/>
      <w:divBdr>
        <w:top w:val="none" w:sz="0" w:space="0" w:color="auto"/>
        <w:left w:val="none" w:sz="0" w:space="0" w:color="auto"/>
        <w:bottom w:val="none" w:sz="0" w:space="0" w:color="auto"/>
        <w:right w:val="none" w:sz="0" w:space="0" w:color="auto"/>
      </w:divBdr>
    </w:div>
    <w:div w:id="91046961">
      <w:bodyDiv w:val="1"/>
      <w:marLeft w:val="0"/>
      <w:marRight w:val="0"/>
      <w:marTop w:val="0"/>
      <w:marBottom w:val="0"/>
      <w:divBdr>
        <w:top w:val="none" w:sz="0" w:space="0" w:color="auto"/>
        <w:left w:val="none" w:sz="0" w:space="0" w:color="auto"/>
        <w:bottom w:val="none" w:sz="0" w:space="0" w:color="auto"/>
        <w:right w:val="none" w:sz="0" w:space="0" w:color="auto"/>
      </w:divBdr>
    </w:div>
    <w:div w:id="92557841">
      <w:bodyDiv w:val="1"/>
      <w:marLeft w:val="0"/>
      <w:marRight w:val="0"/>
      <w:marTop w:val="0"/>
      <w:marBottom w:val="0"/>
      <w:divBdr>
        <w:top w:val="none" w:sz="0" w:space="0" w:color="auto"/>
        <w:left w:val="none" w:sz="0" w:space="0" w:color="auto"/>
        <w:bottom w:val="none" w:sz="0" w:space="0" w:color="auto"/>
        <w:right w:val="none" w:sz="0" w:space="0" w:color="auto"/>
      </w:divBdr>
    </w:div>
    <w:div w:id="99617286">
      <w:bodyDiv w:val="1"/>
      <w:marLeft w:val="0"/>
      <w:marRight w:val="0"/>
      <w:marTop w:val="0"/>
      <w:marBottom w:val="0"/>
      <w:divBdr>
        <w:top w:val="none" w:sz="0" w:space="0" w:color="auto"/>
        <w:left w:val="none" w:sz="0" w:space="0" w:color="auto"/>
        <w:bottom w:val="none" w:sz="0" w:space="0" w:color="auto"/>
        <w:right w:val="none" w:sz="0" w:space="0" w:color="auto"/>
      </w:divBdr>
    </w:div>
    <w:div w:id="110786306">
      <w:bodyDiv w:val="1"/>
      <w:marLeft w:val="0"/>
      <w:marRight w:val="0"/>
      <w:marTop w:val="0"/>
      <w:marBottom w:val="0"/>
      <w:divBdr>
        <w:top w:val="none" w:sz="0" w:space="0" w:color="auto"/>
        <w:left w:val="none" w:sz="0" w:space="0" w:color="auto"/>
        <w:bottom w:val="none" w:sz="0" w:space="0" w:color="auto"/>
        <w:right w:val="none" w:sz="0" w:space="0" w:color="auto"/>
      </w:divBdr>
    </w:div>
    <w:div w:id="116727593">
      <w:bodyDiv w:val="1"/>
      <w:marLeft w:val="0"/>
      <w:marRight w:val="0"/>
      <w:marTop w:val="0"/>
      <w:marBottom w:val="0"/>
      <w:divBdr>
        <w:top w:val="none" w:sz="0" w:space="0" w:color="auto"/>
        <w:left w:val="none" w:sz="0" w:space="0" w:color="auto"/>
        <w:bottom w:val="none" w:sz="0" w:space="0" w:color="auto"/>
        <w:right w:val="none" w:sz="0" w:space="0" w:color="auto"/>
      </w:divBdr>
    </w:div>
    <w:div w:id="123937579">
      <w:bodyDiv w:val="1"/>
      <w:marLeft w:val="0"/>
      <w:marRight w:val="0"/>
      <w:marTop w:val="0"/>
      <w:marBottom w:val="0"/>
      <w:divBdr>
        <w:top w:val="none" w:sz="0" w:space="0" w:color="auto"/>
        <w:left w:val="none" w:sz="0" w:space="0" w:color="auto"/>
        <w:bottom w:val="none" w:sz="0" w:space="0" w:color="auto"/>
        <w:right w:val="none" w:sz="0" w:space="0" w:color="auto"/>
      </w:divBdr>
    </w:div>
    <w:div w:id="125203306">
      <w:bodyDiv w:val="1"/>
      <w:marLeft w:val="0"/>
      <w:marRight w:val="0"/>
      <w:marTop w:val="0"/>
      <w:marBottom w:val="0"/>
      <w:divBdr>
        <w:top w:val="none" w:sz="0" w:space="0" w:color="auto"/>
        <w:left w:val="none" w:sz="0" w:space="0" w:color="auto"/>
        <w:bottom w:val="none" w:sz="0" w:space="0" w:color="auto"/>
        <w:right w:val="none" w:sz="0" w:space="0" w:color="auto"/>
      </w:divBdr>
    </w:div>
    <w:div w:id="135225413">
      <w:bodyDiv w:val="1"/>
      <w:marLeft w:val="0"/>
      <w:marRight w:val="0"/>
      <w:marTop w:val="0"/>
      <w:marBottom w:val="0"/>
      <w:divBdr>
        <w:top w:val="none" w:sz="0" w:space="0" w:color="auto"/>
        <w:left w:val="none" w:sz="0" w:space="0" w:color="auto"/>
        <w:bottom w:val="none" w:sz="0" w:space="0" w:color="auto"/>
        <w:right w:val="none" w:sz="0" w:space="0" w:color="auto"/>
      </w:divBdr>
      <w:divsChild>
        <w:div w:id="17871171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7652216">
      <w:bodyDiv w:val="1"/>
      <w:marLeft w:val="0"/>
      <w:marRight w:val="0"/>
      <w:marTop w:val="0"/>
      <w:marBottom w:val="0"/>
      <w:divBdr>
        <w:top w:val="none" w:sz="0" w:space="0" w:color="auto"/>
        <w:left w:val="none" w:sz="0" w:space="0" w:color="auto"/>
        <w:bottom w:val="none" w:sz="0" w:space="0" w:color="auto"/>
        <w:right w:val="none" w:sz="0" w:space="0" w:color="auto"/>
      </w:divBdr>
    </w:div>
    <w:div w:id="143356273">
      <w:bodyDiv w:val="1"/>
      <w:marLeft w:val="0"/>
      <w:marRight w:val="0"/>
      <w:marTop w:val="0"/>
      <w:marBottom w:val="0"/>
      <w:divBdr>
        <w:top w:val="none" w:sz="0" w:space="0" w:color="auto"/>
        <w:left w:val="none" w:sz="0" w:space="0" w:color="auto"/>
        <w:bottom w:val="none" w:sz="0" w:space="0" w:color="auto"/>
        <w:right w:val="none" w:sz="0" w:space="0" w:color="auto"/>
      </w:divBdr>
    </w:div>
    <w:div w:id="147333918">
      <w:bodyDiv w:val="1"/>
      <w:marLeft w:val="0"/>
      <w:marRight w:val="0"/>
      <w:marTop w:val="0"/>
      <w:marBottom w:val="0"/>
      <w:divBdr>
        <w:top w:val="none" w:sz="0" w:space="0" w:color="auto"/>
        <w:left w:val="none" w:sz="0" w:space="0" w:color="auto"/>
        <w:bottom w:val="none" w:sz="0" w:space="0" w:color="auto"/>
        <w:right w:val="none" w:sz="0" w:space="0" w:color="auto"/>
      </w:divBdr>
      <w:divsChild>
        <w:div w:id="300771636">
          <w:marLeft w:val="0"/>
          <w:marRight w:val="0"/>
          <w:marTop w:val="0"/>
          <w:marBottom w:val="0"/>
          <w:divBdr>
            <w:top w:val="none" w:sz="0" w:space="0" w:color="auto"/>
            <w:left w:val="none" w:sz="0" w:space="0" w:color="auto"/>
            <w:bottom w:val="none" w:sz="0" w:space="0" w:color="auto"/>
            <w:right w:val="none" w:sz="0" w:space="0" w:color="auto"/>
          </w:divBdr>
        </w:div>
        <w:div w:id="679745841">
          <w:marLeft w:val="0"/>
          <w:marRight w:val="0"/>
          <w:marTop w:val="0"/>
          <w:marBottom w:val="0"/>
          <w:divBdr>
            <w:top w:val="none" w:sz="0" w:space="0" w:color="auto"/>
            <w:left w:val="none" w:sz="0" w:space="0" w:color="auto"/>
            <w:bottom w:val="none" w:sz="0" w:space="0" w:color="auto"/>
            <w:right w:val="none" w:sz="0" w:space="0" w:color="auto"/>
          </w:divBdr>
        </w:div>
      </w:divsChild>
    </w:div>
    <w:div w:id="163714240">
      <w:bodyDiv w:val="1"/>
      <w:marLeft w:val="0"/>
      <w:marRight w:val="0"/>
      <w:marTop w:val="0"/>
      <w:marBottom w:val="0"/>
      <w:divBdr>
        <w:top w:val="none" w:sz="0" w:space="0" w:color="auto"/>
        <w:left w:val="none" w:sz="0" w:space="0" w:color="auto"/>
        <w:bottom w:val="none" w:sz="0" w:space="0" w:color="auto"/>
        <w:right w:val="none" w:sz="0" w:space="0" w:color="auto"/>
      </w:divBdr>
    </w:div>
    <w:div w:id="180902100">
      <w:bodyDiv w:val="1"/>
      <w:marLeft w:val="0"/>
      <w:marRight w:val="0"/>
      <w:marTop w:val="0"/>
      <w:marBottom w:val="0"/>
      <w:divBdr>
        <w:top w:val="none" w:sz="0" w:space="0" w:color="auto"/>
        <w:left w:val="none" w:sz="0" w:space="0" w:color="auto"/>
        <w:bottom w:val="none" w:sz="0" w:space="0" w:color="auto"/>
        <w:right w:val="none" w:sz="0" w:space="0" w:color="auto"/>
      </w:divBdr>
    </w:div>
    <w:div w:id="203061504">
      <w:bodyDiv w:val="1"/>
      <w:marLeft w:val="0"/>
      <w:marRight w:val="0"/>
      <w:marTop w:val="0"/>
      <w:marBottom w:val="0"/>
      <w:divBdr>
        <w:top w:val="none" w:sz="0" w:space="0" w:color="auto"/>
        <w:left w:val="none" w:sz="0" w:space="0" w:color="auto"/>
        <w:bottom w:val="none" w:sz="0" w:space="0" w:color="auto"/>
        <w:right w:val="none" w:sz="0" w:space="0" w:color="auto"/>
      </w:divBdr>
    </w:div>
    <w:div w:id="206260752">
      <w:bodyDiv w:val="1"/>
      <w:marLeft w:val="0"/>
      <w:marRight w:val="0"/>
      <w:marTop w:val="0"/>
      <w:marBottom w:val="0"/>
      <w:divBdr>
        <w:top w:val="none" w:sz="0" w:space="0" w:color="auto"/>
        <w:left w:val="none" w:sz="0" w:space="0" w:color="auto"/>
        <w:bottom w:val="none" w:sz="0" w:space="0" w:color="auto"/>
        <w:right w:val="none" w:sz="0" w:space="0" w:color="auto"/>
      </w:divBdr>
    </w:div>
    <w:div w:id="207767805">
      <w:bodyDiv w:val="1"/>
      <w:marLeft w:val="0"/>
      <w:marRight w:val="0"/>
      <w:marTop w:val="0"/>
      <w:marBottom w:val="0"/>
      <w:divBdr>
        <w:top w:val="none" w:sz="0" w:space="0" w:color="auto"/>
        <w:left w:val="none" w:sz="0" w:space="0" w:color="auto"/>
        <w:bottom w:val="none" w:sz="0" w:space="0" w:color="auto"/>
        <w:right w:val="none" w:sz="0" w:space="0" w:color="auto"/>
      </w:divBdr>
      <w:divsChild>
        <w:div w:id="280915899">
          <w:marLeft w:val="0"/>
          <w:marRight w:val="0"/>
          <w:marTop w:val="0"/>
          <w:marBottom w:val="0"/>
          <w:divBdr>
            <w:top w:val="none" w:sz="0" w:space="0" w:color="auto"/>
            <w:left w:val="none" w:sz="0" w:space="0" w:color="auto"/>
            <w:bottom w:val="none" w:sz="0" w:space="0" w:color="auto"/>
            <w:right w:val="none" w:sz="0" w:space="0" w:color="auto"/>
          </w:divBdr>
          <w:divsChild>
            <w:div w:id="1063680072">
              <w:marLeft w:val="0"/>
              <w:marRight w:val="0"/>
              <w:marTop w:val="0"/>
              <w:marBottom w:val="0"/>
              <w:divBdr>
                <w:top w:val="none" w:sz="0" w:space="0" w:color="auto"/>
                <w:left w:val="none" w:sz="0" w:space="0" w:color="auto"/>
                <w:bottom w:val="none" w:sz="0" w:space="0" w:color="auto"/>
                <w:right w:val="none" w:sz="0" w:space="0" w:color="auto"/>
              </w:divBdr>
              <w:divsChild>
                <w:div w:id="1895194132">
                  <w:marLeft w:val="0"/>
                  <w:marRight w:val="0"/>
                  <w:marTop w:val="0"/>
                  <w:marBottom w:val="0"/>
                  <w:divBdr>
                    <w:top w:val="none" w:sz="0" w:space="0" w:color="auto"/>
                    <w:left w:val="none" w:sz="0" w:space="0" w:color="auto"/>
                    <w:bottom w:val="none" w:sz="0" w:space="0" w:color="auto"/>
                    <w:right w:val="none" w:sz="0" w:space="0" w:color="auto"/>
                  </w:divBdr>
                  <w:divsChild>
                    <w:div w:id="2041851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66525">
      <w:bodyDiv w:val="1"/>
      <w:marLeft w:val="0"/>
      <w:marRight w:val="0"/>
      <w:marTop w:val="0"/>
      <w:marBottom w:val="0"/>
      <w:divBdr>
        <w:top w:val="none" w:sz="0" w:space="0" w:color="auto"/>
        <w:left w:val="none" w:sz="0" w:space="0" w:color="auto"/>
        <w:bottom w:val="none" w:sz="0" w:space="0" w:color="auto"/>
        <w:right w:val="none" w:sz="0" w:space="0" w:color="auto"/>
      </w:divBdr>
    </w:div>
    <w:div w:id="210656237">
      <w:bodyDiv w:val="1"/>
      <w:marLeft w:val="0"/>
      <w:marRight w:val="0"/>
      <w:marTop w:val="0"/>
      <w:marBottom w:val="0"/>
      <w:divBdr>
        <w:top w:val="none" w:sz="0" w:space="0" w:color="auto"/>
        <w:left w:val="none" w:sz="0" w:space="0" w:color="auto"/>
        <w:bottom w:val="none" w:sz="0" w:space="0" w:color="auto"/>
        <w:right w:val="none" w:sz="0" w:space="0" w:color="auto"/>
      </w:divBdr>
    </w:div>
    <w:div w:id="214389811">
      <w:bodyDiv w:val="1"/>
      <w:marLeft w:val="0"/>
      <w:marRight w:val="0"/>
      <w:marTop w:val="0"/>
      <w:marBottom w:val="0"/>
      <w:divBdr>
        <w:top w:val="none" w:sz="0" w:space="0" w:color="auto"/>
        <w:left w:val="none" w:sz="0" w:space="0" w:color="auto"/>
        <w:bottom w:val="none" w:sz="0" w:space="0" w:color="auto"/>
        <w:right w:val="none" w:sz="0" w:space="0" w:color="auto"/>
      </w:divBdr>
    </w:div>
    <w:div w:id="218983502">
      <w:bodyDiv w:val="1"/>
      <w:marLeft w:val="0"/>
      <w:marRight w:val="0"/>
      <w:marTop w:val="0"/>
      <w:marBottom w:val="0"/>
      <w:divBdr>
        <w:top w:val="none" w:sz="0" w:space="0" w:color="auto"/>
        <w:left w:val="none" w:sz="0" w:space="0" w:color="auto"/>
        <w:bottom w:val="none" w:sz="0" w:space="0" w:color="auto"/>
        <w:right w:val="none" w:sz="0" w:space="0" w:color="auto"/>
      </w:divBdr>
    </w:div>
    <w:div w:id="231279462">
      <w:bodyDiv w:val="1"/>
      <w:marLeft w:val="0"/>
      <w:marRight w:val="0"/>
      <w:marTop w:val="0"/>
      <w:marBottom w:val="0"/>
      <w:divBdr>
        <w:top w:val="none" w:sz="0" w:space="0" w:color="auto"/>
        <w:left w:val="none" w:sz="0" w:space="0" w:color="auto"/>
        <w:bottom w:val="none" w:sz="0" w:space="0" w:color="auto"/>
        <w:right w:val="none" w:sz="0" w:space="0" w:color="auto"/>
      </w:divBdr>
    </w:div>
    <w:div w:id="239406539">
      <w:bodyDiv w:val="1"/>
      <w:marLeft w:val="0"/>
      <w:marRight w:val="0"/>
      <w:marTop w:val="0"/>
      <w:marBottom w:val="0"/>
      <w:divBdr>
        <w:top w:val="none" w:sz="0" w:space="0" w:color="auto"/>
        <w:left w:val="none" w:sz="0" w:space="0" w:color="auto"/>
        <w:bottom w:val="none" w:sz="0" w:space="0" w:color="auto"/>
        <w:right w:val="none" w:sz="0" w:space="0" w:color="auto"/>
      </w:divBdr>
    </w:div>
    <w:div w:id="259990413">
      <w:bodyDiv w:val="1"/>
      <w:marLeft w:val="0"/>
      <w:marRight w:val="0"/>
      <w:marTop w:val="0"/>
      <w:marBottom w:val="0"/>
      <w:divBdr>
        <w:top w:val="none" w:sz="0" w:space="0" w:color="auto"/>
        <w:left w:val="none" w:sz="0" w:space="0" w:color="auto"/>
        <w:bottom w:val="none" w:sz="0" w:space="0" w:color="auto"/>
        <w:right w:val="none" w:sz="0" w:space="0" w:color="auto"/>
      </w:divBdr>
    </w:div>
    <w:div w:id="264004015">
      <w:bodyDiv w:val="1"/>
      <w:marLeft w:val="0"/>
      <w:marRight w:val="0"/>
      <w:marTop w:val="0"/>
      <w:marBottom w:val="0"/>
      <w:divBdr>
        <w:top w:val="none" w:sz="0" w:space="0" w:color="auto"/>
        <w:left w:val="none" w:sz="0" w:space="0" w:color="auto"/>
        <w:bottom w:val="none" w:sz="0" w:space="0" w:color="auto"/>
        <w:right w:val="none" w:sz="0" w:space="0" w:color="auto"/>
      </w:divBdr>
    </w:div>
    <w:div w:id="267467580">
      <w:bodyDiv w:val="1"/>
      <w:marLeft w:val="0"/>
      <w:marRight w:val="0"/>
      <w:marTop w:val="0"/>
      <w:marBottom w:val="0"/>
      <w:divBdr>
        <w:top w:val="none" w:sz="0" w:space="0" w:color="auto"/>
        <w:left w:val="none" w:sz="0" w:space="0" w:color="auto"/>
        <w:bottom w:val="none" w:sz="0" w:space="0" w:color="auto"/>
        <w:right w:val="none" w:sz="0" w:space="0" w:color="auto"/>
      </w:divBdr>
    </w:div>
    <w:div w:id="276838648">
      <w:bodyDiv w:val="1"/>
      <w:marLeft w:val="0"/>
      <w:marRight w:val="0"/>
      <w:marTop w:val="0"/>
      <w:marBottom w:val="0"/>
      <w:divBdr>
        <w:top w:val="none" w:sz="0" w:space="0" w:color="auto"/>
        <w:left w:val="none" w:sz="0" w:space="0" w:color="auto"/>
        <w:bottom w:val="none" w:sz="0" w:space="0" w:color="auto"/>
        <w:right w:val="none" w:sz="0" w:space="0" w:color="auto"/>
      </w:divBdr>
    </w:div>
    <w:div w:id="277301671">
      <w:bodyDiv w:val="1"/>
      <w:marLeft w:val="0"/>
      <w:marRight w:val="0"/>
      <w:marTop w:val="0"/>
      <w:marBottom w:val="0"/>
      <w:divBdr>
        <w:top w:val="none" w:sz="0" w:space="0" w:color="auto"/>
        <w:left w:val="none" w:sz="0" w:space="0" w:color="auto"/>
        <w:bottom w:val="none" w:sz="0" w:space="0" w:color="auto"/>
        <w:right w:val="none" w:sz="0" w:space="0" w:color="auto"/>
      </w:divBdr>
    </w:div>
    <w:div w:id="279994665">
      <w:bodyDiv w:val="1"/>
      <w:marLeft w:val="0"/>
      <w:marRight w:val="0"/>
      <w:marTop w:val="0"/>
      <w:marBottom w:val="0"/>
      <w:divBdr>
        <w:top w:val="none" w:sz="0" w:space="0" w:color="auto"/>
        <w:left w:val="none" w:sz="0" w:space="0" w:color="auto"/>
        <w:bottom w:val="none" w:sz="0" w:space="0" w:color="auto"/>
        <w:right w:val="none" w:sz="0" w:space="0" w:color="auto"/>
      </w:divBdr>
    </w:div>
    <w:div w:id="288557940">
      <w:bodyDiv w:val="1"/>
      <w:marLeft w:val="0"/>
      <w:marRight w:val="0"/>
      <w:marTop w:val="0"/>
      <w:marBottom w:val="0"/>
      <w:divBdr>
        <w:top w:val="none" w:sz="0" w:space="0" w:color="auto"/>
        <w:left w:val="none" w:sz="0" w:space="0" w:color="auto"/>
        <w:bottom w:val="none" w:sz="0" w:space="0" w:color="auto"/>
        <w:right w:val="none" w:sz="0" w:space="0" w:color="auto"/>
      </w:divBdr>
    </w:div>
    <w:div w:id="292636246">
      <w:bodyDiv w:val="1"/>
      <w:marLeft w:val="0"/>
      <w:marRight w:val="0"/>
      <w:marTop w:val="0"/>
      <w:marBottom w:val="0"/>
      <w:divBdr>
        <w:top w:val="none" w:sz="0" w:space="0" w:color="auto"/>
        <w:left w:val="none" w:sz="0" w:space="0" w:color="auto"/>
        <w:bottom w:val="none" w:sz="0" w:space="0" w:color="auto"/>
        <w:right w:val="none" w:sz="0" w:space="0" w:color="auto"/>
      </w:divBdr>
    </w:div>
    <w:div w:id="293872101">
      <w:bodyDiv w:val="1"/>
      <w:marLeft w:val="0"/>
      <w:marRight w:val="0"/>
      <w:marTop w:val="0"/>
      <w:marBottom w:val="0"/>
      <w:divBdr>
        <w:top w:val="none" w:sz="0" w:space="0" w:color="auto"/>
        <w:left w:val="none" w:sz="0" w:space="0" w:color="auto"/>
        <w:bottom w:val="none" w:sz="0" w:space="0" w:color="auto"/>
        <w:right w:val="none" w:sz="0" w:space="0" w:color="auto"/>
      </w:divBdr>
    </w:div>
    <w:div w:id="296299739">
      <w:bodyDiv w:val="1"/>
      <w:marLeft w:val="0"/>
      <w:marRight w:val="0"/>
      <w:marTop w:val="0"/>
      <w:marBottom w:val="0"/>
      <w:divBdr>
        <w:top w:val="none" w:sz="0" w:space="0" w:color="auto"/>
        <w:left w:val="none" w:sz="0" w:space="0" w:color="auto"/>
        <w:bottom w:val="none" w:sz="0" w:space="0" w:color="auto"/>
        <w:right w:val="none" w:sz="0" w:space="0" w:color="auto"/>
      </w:divBdr>
    </w:div>
    <w:div w:id="296683583">
      <w:bodyDiv w:val="1"/>
      <w:marLeft w:val="0"/>
      <w:marRight w:val="0"/>
      <w:marTop w:val="0"/>
      <w:marBottom w:val="0"/>
      <w:divBdr>
        <w:top w:val="none" w:sz="0" w:space="0" w:color="auto"/>
        <w:left w:val="none" w:sz="0" w:space="0" w:color="auto"/>
        <w:bottom w:val="none" w:sz="0" w:space="0" w:color="auto"/>
        <w:right w:val="none" w:sz="0" w:space="0" w:color="auto"/>
      </w:divBdr>
    </w:div>
    <w:div w:id="312611421">
      <w:bodyDiv w:val="1"/>
      <w:marLeft w:val="0"/>
      <w:marRight w:val="0"/>
      <w:marTop w:val="0"/>
      <w:marBottom w:val="0"/>
      <w:divBdr>
        <w:top w:val="none" w:sz="0" w:space="0" w:color="auto"/>
        <w:left w:val="none" w:sz="0" w:space="0" w:color="auto"/>
        <w:bottom w:val="none" w:sz="0" w:space="0" w:color="auto"/>
        <w:right w:val="none" w:sz="0" w:space="0" w:color="auto"/>
      </w:divBdr>
    </w:div>
    <w:div w:id="313533966">
      <w:bodyDiv w:val="1"/>
      <w:marLeft w:val="0"/>
      <w:marRight w:val="0"/>
      <w:marTop w:val="0"/>
      <w:marBottom w:val="0"/>
      <w:divBdr>
        <w:top w:val="none" w:sz="0" w:space="0" w:color="auto"/>
        <w:left w:val="none" w:sz="0" w:space="0" w:color="auto"/>
        <w:bottom w:val="none" w:sz="0" w:space="0" w:color="auto"/>
        <w:right w:val="none" w:sz="0" w:space="0" w:color="auto"/>
      </w:divBdr>
    </w:div>
    <w:div w:id="316157574">
      <w:bodyDiv w:val="1"/>
      <w:marLeft w:val="0"/>
      <w:marRight w:val="0"/>
      <w:marTop w:val="0"/>
      <w:marBottom w:val="0"/>
      <w:divBdr>
        <w:top w:val="none" w:sz="0" w:space="0" w:color="auto"/>
        <w:left w:val="none" w:sz="0" w:space="0" w:color="auto"/>
        <w:bottom w:val="none" w:sz="0" w:space="0" w:color="auto"/>
        <w:right w:val="none" w:sz="0" w:space="0" w:color="auto"/>
      </w:divBdr>
    </w:div>
    <w:div w:id="323240263">
      <w:bodyDiv w:val="1"/>
      <w:marLeft w:val="0"/>
      <w:marRight w:val="0"/>
      <w:marTop w:val="0"/>
      <w:marBottom w:val="0"/>
      <w:divBdr>
        <w:top w:val="none" w:sz="0" w:space="0" w:color="auto"/>
        <w:left w:val="none" w:sz="0" w:space="0" w:color="auto"/>
        <w:bottom w:val="none" w:sz="0" w:space="0" w:color="auto"/>
        <w:right w:val="none" w:sz="0" w:space="0" w:color="auto"/>
      </w:divBdr>
    </w:div>
    <w:div w:id="323437843">
      <w:bodyDiv w:val="1"/>
      <w:marLeft w:val="0"/>
      <w:marRight w:val="0"/>
      <w:marTop w:val="0"/>
      <w:marBottom w:val="0"/>
      <w:divBdr>
        <w:top w:val="none" w:sz="0" w:space="0" w:color="auto"/>
        <w:left w:val="none" w:sz="0" w:space="0" w:color="auto"/>
        <w:bottom w:val="none" w:sz="0" w:space="0" w:color="auto"/>
        <w:right w:val="none" w:sz="0" w:space="0" w:color="auto"/>
      </w:divBdr>
    </w:div>
    <w:div w:id="334260907">
      <w:bodyDiv w:val="1"/>
      <w:marLeft w:val="0"/>
      <w:marRight w:val="0"/>
      <w:marTop w:val="0"/>
      <w:marBottom w:val="0"/>
      <w:divBdr>
        <w:top w:val="none" w:sz="0" w:space="0" w:color="auto"/>
        <w:left w:val="none" w:sz="0" w:space="0" w:color="auto"/>
        <w:bottom w:val="none" w:sz="0" w:space="0" w:color="auto"/>
        <w:right w:val="none" w:sz="0" w:space="0" w:color="auto"/>
      </w:divBdr>
    </w:div>
    <w:div w:id="357661375">
      <w:bodyDiv w:val="1"/>
      <w:marLeft w:val="0"/>
      <w:marRight w:val="0"/>
      <w:marTop w:val="0"/>
      <w:marBottom w:val="0"/>
      <w:divBdr>
        <w:top w:val="none" w:sz="0" w:space="0" w:color="auto"/>
        <w:left w:val="none" w:sz="0" w:space="0" w:color="auto"/>
        <w:bottom w:val="none" w:sz="0" w:space="0" w:color="auto"/>
        <w:right w:val="none" w:sz="0" w:space="0" w:color="auto"/>
      </w:divBdr>
    </w:div>
    <w:div w:id="375081094">
      <w:bodyDiv w:val="1"/>
      <w:marLeft w:val="0"/>
      <w:marRight w:val="0"/>
      <w:marTop w:val="0"/>
      <w:marBottom w:val="0"/>
      <w:divBdr>
        <w:top w:val="none" w:sz="0" w:space="0" w:color="auto"/>
        <w:left w:val="none" w:sz="0" w:space="0" w:color="auto"/>
        <w:bottom w:val="none" w:sz="0" w:space="0" w:color="auto"/>
        <w:right w:val="none" w:sz="0" w:space="0" w:color="auto"/>
      </w:divBdr>
      <w:divsChild>
        <w:div w:id="1304041010">
          <w:marLeft w:val="0"/>
          <w:marRight w:val="0"/>
          <w:marTop w:val="0"/>
          <w:marBottom w:val="0"/>
          <w:divBdr>
            <w:top w:val="none" w:sz="0" w:space="0" w:color="auto"/>
            <w:left w:val="none" w:sz="0" w:space="0" w:color="auto"/>
            <w:bottom w:val="none" w:sz="0" w:space="0" w:color="auto"/>
            <w:right w:val="none" w:sz="0" w:space="0" w:color="auto"/>
          </w:divBdr>
        </w:div>
      </w:divsChild>
    </w:div>
    <w:div w:id="379938011">
      <w:bodyDiv w:val="1"/>
      <w:marLeft w:val="0"/>
      <w:marRight w:val="0"/>
      <w:marTop w:val="0"/>
      <w:marBottom w:val="0"/>
      <w:divBdr>
        <w:top w:val="none" w:sz="0" w:space="0" w:color="auto"/>
        <w:left w:val="none" w:sz="0" w:space="0" w:color="auto"/>
        <w:bottom w:val="none" w:sz="0" w:space="0" w:color="auto"/>
        <w:right w:val="none" w:sz="0" w:space="0" w:color="auto"/>
      </w:divBdr>
    </w:div>
    <w:div w:id="380593479">
      <w:bodyDiv w:val="1"/>
      <w:marLeft w:val="0"/>
      <w:marRight w:val="0"/>
      <w:marTop w:val="0"/>
      <w:marBottom w:val="0"/>
      <w:divBdr>
        <w:top w:val="none" w:sz="0" w:space="0" w:color="auto"/>
        <w:left w:val="none" w:sz="0" w:space="0" w:color="auto"/>
        <w:bottom w:val="none" w:sz="0" w:space="0" w:color="auto"/>
        <w:right w:val="none" w:sz="0" w:space="0" w:color="auto"/>
      </w:divBdr>
    </w:div>
    <w:div w:id="382407812">
      <w:bodyDiv w:val="1"/>
      <w:marLeft w:val="0"/>
      <w:marRight w:val="0"/>
      <w:marTop w:val="0"/>
      <w:marBottom w:val="0"/>
      <w:divBdr>
        <w:top w:val="none" w:sz="0" w:space="0" w:color="auto"/>
        <w:left w:val="none" w:sz="0" w:space="0" w:color="auto"/>
        <w:bottom w:val="none" w:sz="0" w:space="0" w:color="auto"/>
        <w:right w:val="none" w:sz="0" w:space="0" w:color="auto"/>
      </w:divBdr>
    </w:div>
    <w:div w:id="383060881">
      <w:bodyDiv w:val="1"/>
      <w:marLeft w:val="0"/>
      <w:marRight w:val="0"/>
      <w:marTop w:val="0"/>
      <w:marBottom w:val="0"/>
      <w:divBdr>
        <w:top w:val="none" w:sz="0" w:space="0" w:color="auto"/>
        <w:left w:val="none" w:sz="0" w:space="0" w:color="auto"/>
        <w:bottom w:val="none" w:sz="0" w:space="0" w:color="auto"/>
        <w:right w:val="none" w:sz="0" w:space="0" w:color="auto"/>
      </w:divBdr>
    </w:div>
    <w:div w:id="386537776">
      <w:bodyDiv w:val="1"/>
      <w:marLeft w:val="0"/>
      <w:marRight w:val="0"/>
      <w:marTop w:val="0"/>
      <w:marBottom w:val="0"/>
      <w:divBdr>
        <w:top w:val="none" w:sz="0" w:space="0" w:color="auto"/>
        <w:left w:val="none" w:sz="0" w:space="0" w:color="auto"/>
        <w:bottom w:val="none" w:sz="0" w:space="0" w:color="auto"/>
        <w:right w:val="none" w:sz="0" w:space="0" w:color="auto"/>
      </w:divBdr>
    </w:div>
    <w:div w:id="394860229">
      <w:bodyDiv w:val="1"/>
      <w:marLeft w:val="0"/>
      <w:marRight w:val="0"/>
      <w:marTop w:val="0"/>
      <w:marBottom w:val="0"/>
      <w:divBdr>
        <w:top w:val="none" w:sz="0" w:space="0" w:color="auto"/>
        <w:left w:val="none" w:sz="0" w:space="0" w:color="auto"/>
        <w:bottom w:val="none" w:sz="0" w:space="0" w:color="auto"/>
        <w:right w:val="none" w:sz="0" w:space="0" w:color="auto"/>
      </w:divBdr>
    </w:div>
    <w:div w:id="408502865">
      <w:bodyDiv w:val="1"/>
      <w:marLeft w:val="0"/>
      <w:marRight w:val="0"/>
      <w:marTop w:val="0"/>
      <w:marBottom w:val="0"/>
      <w:divBdr>
        <w:top w:val="none" w:sz="0" w:space="0" w:color="auto"/>
        <w:left w:val="none" w:sz="0" w:space="0" w:color="auto"/>
        <w:bottom w:val="none" w:sz="0" w:space="0" w:color="auto"/>
        <w:right w:val="none" w:sz="0" w:space="0" w:color="auto"/>
      </w:divBdr>
    </w:div>
    <w:div w:id="447167506">
      <w:bodyDiv w:val="1"/>
      <w:marLeft w:val="0"/>
      <w:marRight w:val="0"/>
      <w:marTop w:val="0"/>
      <w:marBottom w:val="0"/>
      <w:divBdr>
        <w:top w:val="none" w:sz="0" w:space="0" w:color="auto"/>
        <w:left w:val="none" w:sz="0" w:space="0" w:color="auto"/>
        <w:bottom w:val="none" w:sz="0" w:space="0" w:color="auto"/>
        <w:right w:val="none" w:sz="0" w:space="0" w:color="auto"/>
      </w:divBdr>
    </w:div>
    <w:div w:id="453401457">
      <w:bodyDiv w:val="1"/>
      <w:marLeft w:val="0"/>
      <w:marRight w:val="0"/>
      <w:marTop w:val="0"/>
      <w:marBottom w:val="0"/>
      <w:divBdr>
        <w:top w:val="none" w:sz="0" w:space="0" w:color="auto"/>
        <w:left w:val="none" w:sz="0" w:space="0" w:color="auto"/>
        <w:bottom w:val="none" w:sz="0" w:space="0" w:color="auto"/>
        <w:right w:val="none" w:sz="0" w:space="0" w:color="auto"/>
      </w:divBdr>
    </w:div>
    <w:div w:id="471363701">
      <w:bodyDiv w:val="1"/>
      <w:marLeft w:val="0"/>
      <w:marRight w:val="0"/>
      <w:marTop w:val="0"/>
      <w:marBottom w:val="0"/>
      <w:divBdr>
        <w:top w:val="none" w:sz="0" w:space="0" w:color="auto"/>
        <w:left w:val="none" w:sz="0" w:space="0" w:color="auto"/>
        <w:bottom w:val="none" w:sz="0" w:space="0" w:color="auto"/>
        <w:right w:val="none" w:sz="0" w:space="0" w:color="auto"/>
      </w:divBdr>
    </w:div>
    <w:div w:id="471990348">
      <w:bodyDiv w:val="1"/>
      <w:marLeft w:val="0"/>
      <w:marRight w:val="0"/>
      <w:marTop w:val="0"/>
      <w:marBottom w:val="0"/>
      <w:divBdr>
        <w:top w:val="none" w:sz="0" w:space="0" w:color="auto"/>
        <w:left w:val="none" w:sz="0" w:space="0" w:color="auto"/>
        <w:bottom w:val="none" w:sz="0" w:space="0" w:color="auto"/>
        <w:right w:val="none" w:sz="0" w:space="0" w:color="auto"/>
      </w:divBdr>
    </w:div>
    <w:div w:id="472674531">
      <w:bodyDiv w:val="1"/>
      <w:marLeft w:val="0"/>
      <w:marRight w:val="0"/>
      <w:marTop w:val="0"/>
      <w:marBottom w:val="0"/>
      <w:divBdr>
        <w:top w:val="none" w:sz="0" w:space="0" w:color="auto"/>
        <w:left w:val="none" w:sz="0" w:space="0" w:color="auto"/>
        <w:bottom w:val="none" w:sz="0" w:space="0" w:color="auto"/>
        <w:right w:val="none" w:sz="0" w:space="0" w:color="auto"/>
      </w:divBdr>
    </w:div>
    <w:div w:id="495922047">
      <w:bodyDiv w:val="1"/>
      <w:marLeft w:val="0"/>
      <w:marRight w:val="0"/>
      <w:marTop w:val="0"/>
      <w:marBottom w:val="0"/>
      <w:divBdr>
        <w:top w:val="none" w:sz="0" w:space="0" w:color="auto"/>
        <w:left w:val="none" w:sz="0" w:space="0" w:color="auto"/>
        <w:bottom w:val="none" w:sz="0" w:space="0" w:color="auto"/>
        <w:right w:val="none" w:sz="0" w:space="0" w:color="auto"/>
      </w:divBdr>
    </w:div>
    <w:div w:id="506359637">
      <w:bodyDiv w:val="1"/>
      <w:marLeft w:val="0"/>
      <w:marRight w:val="0"/>
      <w:marTop w:val="0"/>
      <w:marBottom w:val="0"/>
      <w:divBdr>
        <w:top w:val="none" w:sz="0" w:space="0" w:color="auto"/>
        <w:left w:val="none" w:sz="0" w:space="0" w:color="auto"/>
        <w:bottom w:val="none" w:sz="0" w:space="0" w:color="auto"/>
        <w:right w:val="none" w:sz="0" w:space="0" w:color="auto"/>
      </w:divBdr>
    </w:div>
    <w:div w:id="512497369">
      <w:bodyDiv w:val="1"/>
      <w:marLeft w:val="0"/>
      <w:marRight w:val="0"/>
      <w:marTop w:val="0"/>
      <w:marBottom w:val="0"/>
      <w:divBdr>
        <w:top w:val="none" w:sz="0" w:space="0" w:color="auto"/>
        <w:left w:val="none" w:sz="0" w:space="0" w:color="auto"/>
        <w:bottom w:val="none" w:sz="0" w:space="0" w:color="auto"/>
        <w:right w:val="none" w:sz="0" w:space="0" w:color="auto"/>
      </w:divBdr>
      <w:divsChild>
        <w:div w:id="1507136618">
          <w:marLeft w:val="0"/>
          <w:marRight w:val="0"/>
          <w:marTop w:val="0"/>
          <w:marBottom w:val="0"/>
          <w:divBdr>
            <w:top w:val="none" w:sz="0" w:space="0" w:color="auto"/>
            <w:left w:val="none" w:sz="0" w:space="0" w:color="auto"/>
            <w:bottom w:val="none" w:sz="0" w:space="0" w:color="auto"/>
            <w:right w:val="none" w:sz="0" w:space="0" w:color="auto"/>
          </w:divBdr>
        </w:div>
      </w:divsChild>
    </w:div>
    <w:div w:id="516623504">
      <w:bodyDiv w:val="1"/>
      <w:marLeft w:val="0"/>
      <w:marRight w:val="0"/>
      <w:marTop w:val="0"/>
      <w:marBottom w:val="0"/>
      <w:divBdr>
        <w:top w:val="none" w:sz="0" w:space="0" w:color="auto"/>
        <w:left w:val="none" w:sz="0" w:space="0" w:color="auto"/>
        <w:bottom w:val="none" w:sz="0" w:space="0" w:color="auto"/>
        <w:right w:val="none" w:sz="0" w:space="0" w:color="auto"/>
      </w:divBdr>
    </w:div>
    <w:div w:id="529341135">
      <w:bodyDiv w:val="1"/>
      <w:marLeft w:val="0"/>
      <w:marRight w:val="0"/>
      <w:marTop w:val="0"/>
      <w:marBottom w:val="0"/>
      <w:divBdr>
        <w:top w:val="none" w:sz="0" w:space="0" w:color="auto"/>
        <w:left w:val="none" w:sz="0" w:space="0" w:color="auto"/>
        <w:bottom w:val="none" w:sz="0" w:space="0" w:color="auto"/>
        <w:right w:val="none" w:sz="0" w:space="0" w:color="auto"/>
      </w:divBdr>
    </w:div>
    <w:div w:id="532158621">
      <w:bodyDiv w:val="1"/>
      <w:marLeft w:val="0"/>
      <w:marRight w:val="0"/>
      <w:marTop w:val="0"/>
      <w:marBottom w:val="0"/>
      <w:divBdr>
        <w:top w:val="none" w:sz="0" w:space="0" w:color="auto"/>
        <w:left w:val="none" w:sz="0" w:space="0" w:color="auto"/>
        <w:bottom w:val="none" w:sz="0" w:space="0" w:color="auto"/>
        <w:right w:val="none" w:sz="0" w:space="0" w:color="auto"/>
      </w:divBdr>
    </w:div>
    <w:div w:id="535197097">
      <w:bodyDiv w:val="1"/>
      <w:marLeft w:val="0"/>
      <w:marRight w:val="0"/>
      <w:marTop w:val="0"/>
      <w:marBottom w:val="0"/>
      <w:divBdr>
        <w:top w:val="none" w:sz="0" w:space="0" w:color="auto"/>
        <w:left w:val="none" w:sz="0" w:space="0" w:color="auto"/>
        <w:bottom w:val="none" w:sz="0" w:space="0" w:color="auto"/>
        <w:right w:val="none" w:sz="0" w:space="0" w:color="auto"/>
      </w:divBdr>
    </w:div>
    <w:div w:id="541400774">
      <w:bodyDiv w:val="1"/>
      <w:marLeft w:val="0"/>
      <w:marRight w:val="0"/>
      <w:marTop w:val="0"/>
      <w:marBottom w:val="0"/>
      <w:divBdr>
        <w:top w:val="none" w:sz="0" w:space="0" w:color="auto"/>
        <w:left w:val="none" w:sz="0" w:space="0" w:color="auto"/>
        <w:bottom w:val="none" w:sz="0" w:space="0" w:color="auto"/>
        <w:right w:val="none" w:sz="0" w:space="0" w:color="auto"/>
      </w:divBdr>
    </w:div>
    <w:div w:id="546065586">
      <w:bodyDiv w:val="1"/>
      <w:marLeft w:val="0"/>
      <w:marRight w:val="0"/>
      <w:marTop w:val="0"/>
      <w:marBottom w:val="0"/>
      <w:divBdr>
        <w:top w:val="none" w:sz="0" w:space="0" w:color="auto"/>
        <w:left w:val="none" w:sz="0" w:space="0" w:color="auto"/>
        <w:bottom w:val="none" w:sz="0" w:space="0" w:color="auto"/>
        <w:right w:val="none" w:sz="0" w:space="0" w:color="auto"/>
      </w:divBdr>
    </w:div>
    <w:div w:id="547886311">
      <w:bodyDiv w:val="1"/>
      <w:marLeft w:val="0"/>
      <w:marRight w:val="0"/>
      <w:marTop w:val="0"/>
      <w:marBottom w:val="0"/>
      <w:divBdr>
        <w:top w:val="none" w:sz="0" w:space="0" w:color="auto"/>
        <w:left w:val="none" w:sz="0" w:space="0" w:color="auto"/>
        <w:bottom w:val="none" w:sz="0" w:space="0" w:color="auto"/>
        <w:right w:val="none" w:sz="0" w:space="0" w:color="auto"/>
      </w:divBdr>
    </w:div>
    <w:div w:id="549535858">
      <w:bodyDiv w:val="1"/>
      <w:marLeft w:val="0"/>
      <w:marRight w:val="0"/>
      <w:marTop w:val="0"/>
      <w:marBottom w:val="0"/>
      <w:divBdr>
        <w:top w:val="none" w:sz="0" w:space="0" w:color="auto"/>
        <w:left w:val="none" w:sz="0" w:space="0" w:color="auto"/>
        <w:bottom w:val="none" w:sz="0" w:space="0" w:color="auto"/>
        <w:right w:val="none" w:sz="0" w:space="0" w:color="auto"/>
      </w:divBdr>
    </w:div>
    <w:div w:id="553464187">
      <w:bodyDiv w:val="1"/>
      <w:marLeft w:val="0"/>
      <w:marRight w:val="0"/>
      <w:marTop w:val="0"/>
      <w:marBottom w:val="0"/>
      <w:divBdr>
        <w:top w:val="none" w:sz="0" w:space="0" w:color="auto"/>
        <w:left w:val="none" w:sz="0" w:space="0" w:color="auto"/>
        <w:bottom w:val="none" w:sz="0" w:space="0" w:color="auto"/>
        <w:right w:val="none" w:sz="0" w:space="0" w:color="auto"/>
      </w:divBdr>
    </w:div>
    <w:div w:id="555163485">
      <w:bodyDiv w:val="1"/>
      <w:marLeft w:val="0"/>
      <w:marRight w:val="0"/>
      <w:marTop w:val="0"/>
      <w:marBottom w:val="0"/>
      <w:divBdr>
        <w:top w:val="none" w:sz="0" w:space="0" w:color="auto"/>
        <w:left w:val="none" w:sz="0" w:space="0" w:color="auto"/>
        <w:bottom w:val="none" w:sz="0" w:space="0" w:color="auto"/>
        <w:right w:val="none" w:sz="0" w:space="0" w:color="auto"/>
      </w:divBdr>
    </w:div>
    <w:div w:id="558518187">
      <w:bodyDiv w:val="1"/>
      <w:marLeft w:val="0"/>
      <w:marRight w:val="0"/>
      <w:marTop w:val="0"/>
      <w:marBottom w:val="0"/>
      <w:divBdr>
        <w:top w:val="none" w:sz="0" w:space="0" w:color="auto"/>
        <w:left w:val="none" w:sz="0" w:space="0" w:color="auto"/>
        <w:bottom w:val="none" w:sz="0" w:space="0" w:color="auto"/>
        <w:right w:val="none" w:sz="0" w:space="0" w:color="auto"/>
      </w:divBdr>
    </w:div>
    <w:div w:id="570771139">
      <w:bodyDiv w:val="1"/>
      <w:marLeft w:val="0"/>
      <w:marRight w:val="0"/>
      <w:marTop w:val="0"/>
      <w:marBottom w:val="0"/>
      <w:divBdr>
        <w:top w:val="none" w:sz="0" w:space="0" w:color="auto"/>
        <w:left w:val="none" w:sz="0" w:space="0" w:color="auto"/>
        <w:bottom w:val="none" w:sz="0" w:space="0" w:color="auto"/>
        <w:right w:val="none" w:sz="0" w:space="0" w:color="auto"/>
      </w:divBdr>
    </w:div>
    <w:div w:id="571696424">
      <w:bodyDiv w:val="1"/>
      <w:marLeft w:val="0"/>
      <w:marRight w:val="0"/>
      <w:marTop w:val="0"/>
      <w:marBottom w:val="0"/>
      <w:divBdr>
        <w:top w:val="none" w:sz="0" w:space="0" w:color="auto"/>
        <w:left w:val="none" w:sz="0" w:space="0" w:color="auto"/>
        <w:bottom w:val="none" w:sz="0" w:space="0" w:color="auto"/>
        <w:right w:val="none" w:sz="0" w:space="0" w:color="auto"/>
      </w:divBdr>
    </w:div>
    <w:div w:id="582422186">
      <w:bodyDiv w:val="1"/>
      <w:marLeft w:val="0"/>
      <w:marRight w:val="0"/>
      <w:marTop w:val="0"/>
      <w:marBottom w:val="0"/>
      <w:divBdr>
        <w:top w:val="none" w:sz="0" w:space="0" w:color="auto"/>
        <w:left w:val="none" w:sz="0" w:space="0" w:color="auto"/>
        <w:bottom w:val="none" w:sz="0" w:space="0" w:color="auto"/>
        <w:right w:val="none" w:sz="0" w:space="0" w:color="auto"/>
      </w:divBdr>
    </w:div>
    <w:div w:id="586155404">
      <w:bodyDiv w:val="1"/>
      <w:marLeft w:val="0"/>
      <w:marRight w:val="0"/>
      <w:marTop w:val="0"/>
      <w:marBottom w:val="0"/>
      <w:divBdr>
        <w:top w:val="none" w:sz="0" w:space="0" w:color="auto"/>
        <w:left w:val="none" w:sz="0" w:space="0" w:color="auto"/>
        <w:bottom w:val="none" w:sz="0" w:space="0" w:color="auto"/>
        <w:right w:val="none" w:sz="0" w:space="0" w:color="auto"/>
      </w:divBdr>
      <w:divsChild>
        <w:div w:id="623385926">
          <w:marLeft w:val="0"/>
          <w:marRight w:val="0"/>
          <w:marTop w:val="0"/>
          <w:marBottom w:val="0"/>
          <w:divBdr>
            <w:top w:val="none" w:sz="0" w:space="0" w:color="auto"/>
            <w:left w:val="none" w:sz="0" w:space="0" w:color="auto"/>
            <w:bottom w:val="none" w:sz="0" w:space="0" w:color="auto"/>
            <w:right w:val="none" w:sz="0" w:space="0" w:color="auto"/>
          </w:divBdr>
          <w:divsChild>
            <w:div w:id="764348634">
              <w:marLeft w:val="0"/>
              <w:marRight w:val="0"/>
              <w:marTop w:val="0"/>
              <w:marBottom w:val="0"/>
              <w:divBdr>
                <w:top w:val="none" w:sz="0" w:space="0" w:color="auto"/>
                <w:left w:val="none" w:sz="0" w:space="0" w:color="auto"/>
                <w:bottom w:val="none" w:sz="0" w:space="0" w:color="auto"/>
                <w:right w:val="none" w:sz="0" w:space="0" w:color="auto"/>
              </w:divBdr>
              <w:divsChild>
                <w:div w:id="1798373891">
                  <w:marLeft w:val="0"/>
                  <w:marRight w:val="0"/>
                  <w:marTop w:val="0"/>
                  <w:marBottom w:val="0"/>
                  <w:divBdr>
                    <w:top w:val="none" w:sz="0" w:space="0" w:color="auto"/>
                    <w:left w:val="none" w:sz="0" w:space="0" w:color="auto"/>
                    <w:bottom w:val="none" w:sz="0" w:space="0" w:color="auto"/>
                    <w:right w:val="none" w:sz="0" w:space="0" w:color="auto"/>
                  </w:divBdr>
                  <w:divsChild>
                    <w:div w:id="1127510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7005380">
      <w:bodyDiv w:val="1"/>
      <w:marLeft w:val="0"/>
      <w:marRight w:val="0"/>
      <w:marTop w:val="0"/>
      <w:marBottom w:val="0"/>
      <w:divBdr>
        <w:top w:val="none" w:sz="0" w:space="0" w:color="auto"/>
        <w:left w:val="none" w:sz="0" w:space="0" w:color="auto"/>
        <w:bottom w:val="none" w:sz="0" w:space="0" w:color="auto"/>
        <w:right w:val="none" w:sz="0" w:space="0" w:color="auto"/>
      </w:divBdr>
    </w:div>
    <w:div w:id="618415397">
      <w:bodyDiv w:val="1"/>
      <w:marLeft w:val="0"/>
      <w:marRight w:val="0"/>
      <w:marTop w:val="0"/>
      <w:marBottom w:val="0"/>
      <w:divBdr>
        <w:top w:val="none" w:sz="0" w:space="0" w:color="auto"/>
        <w:left w:val="none" w:sz="0" w:space="0" w:color="auto"/>
        <w:bottom w:val="none" w:sz="0" w:space="0" w:color="auto"/>
        <w:right w:val="none" w:sz="0" w:space="0" w:color="auto"/>
      </w:divBdr>
    </w:div>
    <w:div w:id="619998395">
      <w:bodyDiv w:val="1"/>
      <w:marLeft w:val="0"/>
      <w:marRight w:val="0"/>
      <w:marTop w:val="0"/>
      <w:marBottom w:val="0"/>
      <w:divBdr>
        <w:top w:val="none" w:sz="0" w:space="0" w:color="auto"/>
        <w:left w:val="none" w:sz="0" w:space="0" w:color="auto"/>
        <w:bottom w:val="none" w:sz="0" w:space="0" w:color="auto"/>
        <w:right w:val="none" w:sz="0" w:space="0" w:color="auto"/>
      </w:divBdr>
    </w:div>
    <w:div w:id="625308945">
      <w:bodyDiv w:val="1"/>
      <w:marLeft w:val="0"/>
      <w:marRight w:val="0"/>
      <w:marTop w:val="0"/>
      <w:marBottom w:val="0"/>
      <w:divBdr>
        <w:top w:val="none" w:sz="0" w:space="0" w:color="auto"/>
        <w:left w:val="none" w:sz="0" w:space="0" w:color="auto"/>
        <w:bottom w:val="none" w:sz="0" w:space="0" w:color="auto"/>
        <w:right w:val="none" w:sz="0" w:space="0" w:color="auto"/>
      </w:divBdr>
    </w:div>
    <w:div w:id="628048207">
      <w:bodyDiv w:val="1"/>
      <w:marLeft w:val="0"/>
      <w:marRight w:val="0"/>
      <w:marTop w:val="0"/>
      <w:marBottom w:val="0"/>
      <w:divBdr>
        <w:top w:val="none" w:sz="0" w:space="0" w:color="auto"/>
        <w:left w:val="none" w:sz="0" w:space="0" w:color="auto"/>
        <w:bottom w:val="none" w:sz="0" w:space="0" w:color="auto"/>
        <w:right w:val="none" w:sz="0" w:space="0" w:color="auto"/>
      </w:divBdr>
    </w:div>
    <w:div w:id="632178889">
      <w:bodyDiv w:val="1"/>
      <w:marLeft w:val="0"/>
      <w:marRight w:val="0"/>
      <w:marTop w:val="0"/>
      <w:marBottom w:val="0"/>
      <w:divBdr>
        <w:top w:val="none" w:sz="0" w:space="0" w:color="auto"/>
        <w:left w:val="none" w:sz="0" w:space="0" w:color="auto"/>
        <w:bottom w:val="none" w:sz="0" w:space="0" w:color="auto"/>
        <w:right w:val="none" w:sz="0" w:space="0" w:color="auto"/>
      </w:divBdr>
    </w:div>
    <w:div w:id="641692640">
      <w:bodyDiv w:val="1"/>
      <w:marLeft w:val="0"/>
      <w:marRight w:val="0"/>
      <w:marTop w:val="0"/>
      <w:marBottom w:val="0"/>
      <w:divBdr>
        <w:top w:val="none" w:sz="0" w:space="0" w:color="auto"/>
        <w:left w:val="none" w:sz="0" w:space="0" w:color="auto"/>
        <w:bottom w:val="none" w:sz="0" w:space="0" w:color="auto"/>
        <w:right w:val="none" w:sz="0" w:space="0" w:color="auto"/>
      </w:divBdr>
    </w:div>
    <w:div w:id="643505784">
      <w:bodyDiv w:val="1"/>
      <w:marLeft w:val="0"/>
      <w:marRight w:val="0"/>
      <w:marTop w:val="0"/>
      <w:marBottom w:val="0"/>
      <w:divBdr>
        <w:top w:val="none" w:sz="0" w:space="0" w:color="auto"/>
        <w:left w:val="none" w:sz="0" w:space="0" w:color="auto"/>
        <w:bottom w:val="none" w:sz="0" w:space="0" w:color="auto"/>
        <w:right w:val="none" w:sz="0" w:space="0" w:color="auto"/>
      </w:divBdr>
    </w:div>
    <w:div w:id="643582827">
      <w:bodyDiv w:val="1"/>
      <w:marLeft w:val="0"/>
      <w:marRight w:val="0"/>
      <w:marTop w:val="0"/>
      <w:marBottom w:val="0"/>
      <w:divBdr>
        <w:top w:val="none" w:sz="0" w:space="0" w:color="auto"/>
        <w:left w:val="none" w:sz="0" w:space="0" w:color="auto"/>
        <w:bottom w:val="none" w:sz="0" w:space="0" w:color="auto"/>
        <w:right w:val="none" w:sz="0" w:space="0" w:color="auto"/>
      </w:divBdr>
    </w:div>
    <w:div w:id="647249621">
      <w:bodyDiv w:val="1"/>
      <w:marLeft w:val="0"/>
      <w:marRight w:val="0"/>
      <w:marTop w:val="0"/>
      <w:marBottom w:val="0"/>
      <w:divBdr>
        <w:top w:val="none" w:sz="0" w:space="0" w:color="auto"/>
        <w:left w:val="none" w:sz="0" w:space="0" w:color="auto"/>
        <w:bottom w:val="none" w:sz="0" w:space="0" w:color="auto"/>
        <w:right w:val="none" w:sz="0" w:space="0" w:color="auto"/>
      </w:divBdr>
      <w:divsChild>
        <w:div w:id="379398299">
          <w:marLeft w:val="0"/>
          <w:marRight w:val="0"/>
          <w:marTop w:val="0"/>
          <w:marBottom w:val="0"/>
          <w:divBdr>
            <w:top w:val="none" w:sz="0" w:space="0" w:color="auto"/>
            <w:left w:val="none" w:sz="0" w:space="0" w:color="auto"/>
            <w:bottom w:val="none" w:sz="0" w:space="0" w:color="auto"/>
            <w:right w:val="none" w:sz="0" w:space="0" w:color="auto"/>
          </w:divBdr>
        </w:div>
        <w:div w:id="1039739804">
          <w:marLeft w:val="0"/>
          <w:marRight w:val="0"/>
          <w:marTop w:val="0"/>
          <w:marBottom w:val="0"/>
          <w:divBdr>
            <w:top w:val="none" w:sz="0" w:space="0" w:color="auto"/>
            <w:left w:val="none" w:sz="0" w:space="0" w:color="auto"/>
            <w:bottom w:val="none" w:sz="0" w:space="0" w:color="auto"/>
            <w:right w:val="none" w:sz="0" w:space="0" w:color="auto"/>
          </w:divBdr>
        </w:div>
        <w:div w:id="1128351814">
          <w:marLeft w:val="0"/>
          <w:marRight w:val="0"/>
          <w:marTop w:val="0"/>
          <w:marBottom w:val="0"/>
          <w:divBdr>
            <w:top w:val="none" w:sz="0" w:space="0" w:color="auto"/>
            <w:left w:val="none" w:sz="0" w:space="0" w:color="auto"/>
            <w:bottom w:val="none" w:sz="0" w:space="0" w:color="auto"/>
            <w:right w:val="none" w:sz="0" w:space="0" w:color="auto"/>
          </w:divBdr>
        </w:div>
        <w:div w:id="1215199222">
          <w:marLeft w:val="0"/>
          <w:marRight w:val="0"/>
          <w:marTop w:val="0"/>
          <w:marBottom w:val="0"/>
          <w:divBdr>
            <w:top w:val="none" w:sz="0" w:space="0" w:color="auto"/>
            <w:left w:val="none" w:sz="0" w:space="0" w:color="auto"/>
            <w:bottom w:val="none" w:sz="0" w:space="0" w:color="auto"/>
            <w:right w:val="none" w:sz="0" w:space="0" w:color="auto"/>
          </w:divBdr>
        </w:div>
      </w:divsChild>
    </w:div>
    <w:div w:id="656148019">
      <w:bodyDiv w:val="1"/>
      <w:marLeft w:val="0"/>
      <w:marRight w:val="0"/>
      <w:marTop w:val="0"/>
      <w:marBottom w:val="0"/>
      <w:divBdr>
        <w:top w:val="none" w:sz="0" w:space="0" w:color="auto"/>
        <w:left w:val="none" w:sz="0" w:space="0" w:color="auto"/>
        <w:bottom w:val="none" w:sz="0" w:space="0" w:color="auto"/>
        <w:right w:val="none" w:sz="0" w:space="0" w:color="auto"/>
      </w:divBdr>
      <w:divsChild>
        <w:div w:id="1728993104">
          <w:marLeft w:val="0"/>
          <w:marRight w:val="0"/>
          <w:marTop w:val="0"/>
          <w:marBottom w:val="0"/>
          <w:divBdr>
            <w:top w:val="none" w:sz="0" w:space="0" w:color="auto"/>
            <w:left w:val="none" w:sz="0" w:space="0" w:color="auto"/>
            <w:bottom w:val="none" w:sz="0" w:space="0" w:color="auto"/>
            <w:right w:val="none" w:sz="0" w:space="0" w:color="auto"/>
          </w:divBdr>
          <w:divsChild>
            <w:div w:id="288513954">
              <w:marLeft w:val="0"/>
              <w:marRight w:val="0"/>
              <w:marTop w:val="0"/>
              <w:marBottom w:val="0"/>
              <w:divBdr>
                <w:top w:val="none" w:sz="0" w:space="0" w:color="auto"/>
                <w:left w:val="none" w:sz="0" w:space="0" w:color="auto"/>
                <w:bottom w:val="none" w:sz="0" w:space="0" w:color="auto"/>
                <w:right w:val="none" w:sz="0" w:space="0" w:color="auto"/>
              </w:divBdr>
              <w:divsChild>
                <w:div w:id="618755334">
                  <w:marLeft w:val="0"/>
                  <w:marRight w:val="0"/>
                  <w:marTop w:val="0"/>
                  <w:marBottom w:val="0"/>
                  <w:divBdr>
                    <w:top w:val="none" w:sz="0" w:space="0" w:color="auto"/>
                    <w:left w:val="none" w:sz="0" w:space="0" w:color="auto"/>
                    <w:bottom w:val="none" w:sz="0" w:space="0" w:color="auto"/>
                    <w:right w:val="none" w:sz="0" w:space="0" w:color="auto"/>
                  </w:divBdr>
                  <w:divsChild>
                    <w:div w:id="517543331">
                      <w:marLeft w:val="0"/>
                      <w:marRight w:val="0"/>
                      <w:marTop w:val="0"/>
                      <w:marBottom w:val="0"/>
                      <w:divBdr>
                        <w:top w:val="none" w:sz="0" w:space="0" w:color="auto"/>
                        <w:left w:val="none" w:sz="0" w:space="0" w:color="auto"/>
                        <w:bottom w:val="none" w:sz="0" w:space="0" w:color="auto"/>
                        <w:right w:val="none" w:sz="0" w:space="0" w:color="auto"/>
                      </w:divBdr>
                      <w:divsChild>
                        <w:div w:id="1058819729">
                          <w:marLeft w:val="0"/>
                          <w:marRight w:val="0"/>
                          <w:marTop w:val="0"/>
                          <w:marBottom w:val="0"/>
                          <w:divBdr>
                            <w:top w:val="none" w:sz="0" w:space="0" w:color="auto"/>
                            <w:left w:val="none" w:sz="0" w:space="0" w:color="auto"/>
                            <w:bottom w:val="none" w:sz="0" w:space="0" w:color="auto"/>
                            <w:right w:val="none" w:sz="0" w:space="0" w:color="auto"/>
                          </w:divBdr>
                          <w:divsChild>
                            <w:div w:id="1285429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58382653">
      <w:bodyDiv w:val="1"/>
      <w:marLeft w:val="0"/>
      <w:marRight w:val="0"/>
      <w:marTop w:val="0"/>
      <w:marBottom w:val="0"/>
      <w:divBdr>
        <w:top w:val="none" w:sz="0" w:space="0" w:color="auto"/>
        <w:left w:val="none" w:sz="0" w:space="0" w:color="auto"/>
        <w:bottom w:val="none" w:sz="0" w:space="0" w:color="auto"/>
        <w:right w:val="none" w:sz="0" w:space="0" w:color="auto"/>
      </w:divBdr>
    </w:div>
    <w:div w:id="664629453">
      <w:bodyDiv w:val="1"/>
      <w:marLeft w:val="0"/>
      <w:marRight w:val="0"/>
      <w:marTop w:val="0"/>
      <w:marBottom w:val="0"/>
      <w:divBdr>
        <w:top w:val="none" w:sz="0" w:space="0" w:color="auto"/>
        <w:left w:val="none" w:sz="0" w:space="0" w:color="auto"/>
        <w:bottom w:val="none" w:sz="0" w:space="0" w:color="auto"/>
        <w:right w:val="none" w:sz="0" w:space="0" w:color="auto"/>
      </w:divBdr>
    </w:div>
    <w:div w:id="666060055">
      <w:bodyDiv w:val="1"/>
      <w:marLeft w:val="0"/>
      <w:marRight w:val="0"/>
      <w:marTop w:val="0"/>
      <w:marBottom w:val="0"/>
      <w:divBdr>
        <w:top w:val="none" w:sz="0" w:space="0" w:color="auto"/>
        <w:left w:val="none" w:sz="0" w:space="0" w:color="auto"/>
        <w:bottom w:val="none" w:sz="0" w:space="0" w:color="auto"/>
        <w:right w:val="none" w:sz="0" w:space="0" w:color="auto"/>
      </w:divBdr>
      <w:divsChild>
        <w:div w:id="766005436">
          <w:marLeft w:val="0"/>
          <w:marRight w:val="0"/>
          <w:marTop w:val="0"/>
          <w:marBottom w:val="0"/>
          <w:divBdr>
            <w:top w:val="none" w:sz="0" w:space="0" w:color="auto"/>
            <w:left w:val="none" w:sz="0" w:space="0" w:color="auto"/>
            <w:bottom w:val="none" w:sz="0" w:space="0" w:color="auto"/>
            <w:right w:val="none" w:sz="0" w:space="0" w:color="auto"/>
          </w:divBdr>
        </w:div>
      </w:divsChild>
    </w:div>
    <w:div w:id="697044454">
      <w:bodyDiv w:val="1"/>
      <w:marLeft w:val="0"/>
      <w:marRight w:val="0"/>
      <w:marTop w:val="0"/>
      <w:marBottom w:val="0"/>
      <w:divBdr>
        <w:top w:val="none" w:sz="0" w:space="0" w:color="auto"/>
        <w:left w:val="none" w:sz="0" w:space="0" w:color="auto"/>
        <w:bottom w:val="none" w:sz="0" w:space="0" w:color="auto"/>
        <w:right w:val="none" w:sz="0" w:space="0" w:color="auto"/>
      </w:divBdr>
    </w:div>
    <w:div w:id="699819861">
      <w:bodyDiv w:val="1"/>
      <w:marLeft w:val="0"/>
      <w:marRight w:val="0"/>
      <w:marTop w:val="0"/>
      <w:marBottom w:val="0"/>
      <w:divBdr>
        <w:top w:val="none" w:sz="0" w:space="0" w:color="auto"/>
        <w:left w:val="none" w:sz="0" w:space="0" w:color="auto"/>
        <w:bottom w:val="none" w:sz="0" w:space="0" w:color="auto"/>
        <w:right w:val="none" w:sz="0" w:space="0" w:color="auto"/>
      </w:divBdr>
    </w:div>
    <w:div w:id="709039975">
      <w:bodyDiv w:val="1"/>
      <w:marLeft w:val="0"/>
      <w:marRight w:val="0"/>
      <w:marTop w:val="0"/>
      <w:marBottom w:val="0"/>
      <w:divBdr>
        <w:top w:val="none" w:sz="0" w:space="0" w:color="auto"/>
        <w:left w:val="none" w:sz="0" w:space="0" w:color="auto"/>
        <w:bottom w:val="none" w:sz="0" w:space="0" w:color="auto"/>
        <w:right w:val="none" w:sz="0" w:space="0" w:color="auto"/>
      </w:divBdr>
    </w:div>
    <w:div w:id="709917985">
      <w:bodyDiv w:val="1"/>
      <w:marLeft w:val="0"/>
      <w:marRight w:val="0"/>
      <w:marTop w:val="0"/>
      <w:marBottom w:val="0"/>
      <w:divBdr>
        <w:top w:val="none" w:sz="0" w:space="0" w:color="auto"/>
        <w:left w:val="none" w:sz="0" w:space="0" w:color="auto"/>
        <w:bottom w:val="none" w:sz="0" w:space="0" w:color="auto"/>
        <w:right w:val="none" w:sz="0" w:space="0" w:color="auto"/>
      </w:divBdr>
    </w:div>
    <w:div w:id="714475905">
      <w:bodyDiv w:val="1"/>
      <w:marLeft w:val="0"/>
      <w:marRight w:val="0"/>
      <w:marTop w:val="0"/>
      <w:marBottom w:val="0"/>
      <w:divBdr>
        <w:top w:val="none" w:sz="0" w:space="0" w:color="auto"/>
        <w:left w:val="none" w:sz="0" w:space="0" w:color="auto"/>
        <w:bottom w:val="none" w:sz="0" w:space="0" w:color="auto"/>
        <w:right w:val="none" w:sz="0" w:space="0" w:color="auto"/>
      </w:divBdr>
    </w:div>
    <w:div w:id="719212421">
      <w:bodyDiv w:val="1"/>
      <w:marLeft w:val="0"/>
      <w:marRight w:val="0"/>
      <w:marTop w:val="0"/>
      <w:marBottom w:val="0"/>
      <w:divBdr>
        <w:top w:val="none" w:sz="0" w:space="0" w:color="auto"/>
        <w:left w:val="none" w:sz="0" w:space="0" w:color="auto"/>
        <w:bottom w:val="none" w:sz="0" w:space="0" w:color="auto"/>
        <w:right w:val="none" w:sz="0" w:space="0" w:color="auto"/>
      </w:divBdr>
      <w:divsChild>
        <w:div w:id="2008286833">
          <w:marLeft w:val="480"/>
          <w:marRight w:val="0"/>
          <w:marTop w:val="0"/>
          <w:marBottom w:val="0"/>
          <w:divBdr>
            <w:top w:val="none" w:sz="0" w:space="0" w:color="auto"/>
            <w:left w:val="none" w:sz="0" w:space="0" w:color="auto"/>
            <w:bottom w:val="none" w:sz="0" w:space="0" w:color="auto"/>
            <w:right w:val="none" w:sz="0" w:space="0" w:color="auto"/>
          </w:divBdr>
          <w:divsChild>
            <w:div w:id="755521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2338031">
      <w:bodyDiv w:val="1"/>
      <w:marLeft w:val="0"/>
      <w:marRight w:val="0"/>
      <w:marTop w:val="0"/>
      <w:marBottom w:val="0"/>
      <w:divBdr>
        <w:top w:val="none" w:sz="0" w:space="0" w:color="auto"/>
        <w:left w:val="none" w:sz="0" w:space="0" w:color="auto"/>
        <w:bottom w:val="none" w:sz="0" w:space="0" w:color="auto"/>
        <w:right w:val="none" w:sz="0" w:space="0" w:color="auto"/>
      </w:divBdr>
    </w:div>
    <w:div w:id="728962266">
      <w:bodyDiv w:val="1"/>
      <w:marLeft w:val="0"/>
      <w:marRight w:val="0"/>
      <w:marTop w:val="0"/>
      <w:marBottom w:val="0"/>
      <w:divBdr>
        <w:top w:val="none" w:sz="0" w:space="0" w:color="auto"/>
        <w:left w:val="none" w:sz="0" w:space="0" w:color="auto"/>
        <w:bottom w:val="none" w:sz="0" w:space="0" w:color="auto"/>
        <w:right w:val="none" w:sz="0" w:space="0" w:color="auto"/>
      </w:divBdr>
    </w:div>
    <w:div w:id="735013032">
      <w:bodyDiv w:val="1"/>
      <w:marLeft w:val="0"/>
      <w:marRight w:val="0"/>
      <w:marTop w:val="0"/>
      <w:marBottom w:val="0"/>
      <w:divBdr>
        <w:top w:val="none" w:sz="0" w:space="0" w:color="auto"/>
        <w:left w:val="none" w:sz="0" w:space="0" w:color="auto"/>
        <w:bottom w:val="none" w:sz="0" w:space="0" w:color="auto"/>
        <w:right w:val="none" w:sz="0" w:space="0" w:color="auto"/>
      </w:divBdr>
    </w:div>
    <w:div w:id="774058244">
      <w:bodyDiv w:val="1"/>
      <w:marLeft w:val="0"/>
      <w:marRight w:val="0"/>
      <w:marTop w:val="0"/>
      <w:marBottom w:val="0"/>
      <w:divBdr>
        <w:top w:val="none" w:sz="0" w:space="0" w:color="auto"/>
        <w:left w:val="none" w:sz="0" w:space="0" w:color="auto"/>
        <w:bottom w:val="none" w:sz="0" w:space="0" w:color="auto"/>
        <w:right w:val="none" w:sz="0" w:space="0" w:color="auto"/>
      </w:divBdr>
    </w:div>
    <w:div w:id="776607495">
      <w:bodyDiv w:val="1"/>
      <w:marLeft w:val="0"/>
      <w:marRight w:val="0"/>
      <w:marTop w:val="0"/>
      <w:marBottom w:val="0"/>
      <w:divBdr>
        <w:top w:val="none" w:sz="0" w:space="0" w:color="auto"/>
        <w:left w:val="none" w:sz="0" w:space="0" w:color="auto"/>
        <w:bottom w:val="none" w:sz="0" w:space="0" w:color="auto"/>
        <w:right w:val="none" w:sz="0" w:space="0" w:color="auto"/>
      </w:divBdr>
      <w:divsChild>
        <w:div w:id="269169517">
          <w:marLeft w:val="0"/>
          <w:marRight w:val="0"/>
          <w:marTop w:val="0"/>
          <w:marBottom w:val="0"/>
          <w:divBdr>
            <w:top w:val="none" w:sz="0" w:space="0" w:color="auto"/>
            <w:left w:val="none" w:sz="0" w:space="0" w:color="auto"/>
            <w:bottom w:val="none" w:sz="0" w:space="0" w:color="auto"/>
            <w:right w:val="none" w:sz="0" w:space="0" w:color="auto"/>
          </w:divBdr>
        </w:div>
        <w:div w:id="1338656263">
          <w:marLeft w:val="0"/>
          <w:marRight w:val="0"/>
          <w:marTop w:val="0"/>
          <w:marBottom w:val="0"/>
          <w:divBdr>
            <w:top w:val="none" w:sz="0" w:space="0" w:color="auto"/>
            <w:left w:val="none" w:sz="0" w:space="0" w:color="auto"/>
            <w:bottom w:val="none" w:sz="0" w:space="0" w:color="auto"/>
            <w:right w:val="none" w:sz="0" w:space="0" w:color="auto"/>
          </w:divBdr>
        </w:div>
        <w:div w:id="1978678443">
          <w:marLeft w:val="0"/>
          <w:marRight w:val="0"/>
          <w:marTop w:val="0"/>
          <w:marBottom w:val="0"/>
          <w:divBdr>
            <w:top w:val="none" w:sz="0" w:space="0" w:color="auto"/>
            <w:left w:val="none" w:sz="0" w:space="0" w:color="auto"/>
            <w:bottom w:val="none" w:sz="0" w:space="0" w:color="auto"/>
            <w:right w:val="none" w:sz="0" w:space="0" w:color="auto"/>
          </w:divBdr>
        </w:div>
        <w:div w:id="2097095256">
          <w:marLeft w:val="0"/>
          <w:marRight w:val="0"/>
          <w:marTop w:val="0"/>
          <w:marBottom w:val="0"/>
          <w:divBdr>
            <w:top w:val="none" w:sz="0" w:space="0" w:color="auto"/>
            <w:left w:val="none" w:sz="0" w:space="0" w:color="auto"/>
            <w:bottom w:val="none" w:sz="0" w:space="0" w:color="auto"/>
            <w:right w:val="none" w:sz="0" w:space="0" w:color="auto"/>
          </w:divBdr>
        </w:div>
      </w:divsChild>
    </w:div>
    <w:div w:id="787893973">
      <w:bodyDiv w:val="1"/>
      <w:marLeft w:val="0"/>
      <w:marRight w:val="0"/>
      <w:marTop w:val="0"/>
      <w:marBottom w:val="0"/>
      <w:divBdr>
        <w:top w:val="none" w:sz="0" w:space="0" w:color="auto"/>
        <w:left w:val="none" w:sz="0" w:space="0" w:color="auto"/>
        <w:bottom w:val="none" w:sz="0" w:space="0" w:color="auto"/>
        <w:right w:val="none" w:sz="0" w:space="0" w:color="auto"/>
      </w:divBdr>
    </w:div>
    <w:div w:id="790592047">
      <w:bodyDiv w:val="1"/>
      <w:marLeft w:val="0"/>
      <w:marRight w:val="0"/>
      <w:marTop w:val="0"/>
      <w:marBottom w:val="0"/>
      <w:divBdr>
        <w:top w:val="none" w:sz="0" w:space="0" w:color="auto"/>
        <w:left w:val="none" w:sz="0" w:space="0" w:color="auto"/>
        <w:bottom w:val="none" w:sz="0" w:space="0" w:color="auto"/>
        <w:right w:val="none" w:sz="0" w:space="0" w:color="auto"/>
      </w:divBdr>
      <w:divsChild>
        <w:div w:id="436557257">
          <w:marLeft w:val="0"/>
          <w:marRight w:val="0"/>
          <w:marTop w:val="0"/>
          <w:marBottom w:val="0"/>
          <w:divBdr>
            <w:top w:val="none" w:sz="0" w:space="0" w:color="auto"/>
            <w:left w:val="none" w:sz="0" w:space="0" w:color="auto"/>
            <w:bottom w:val="none" w:sz="0" w:space="0" w:color="auto"/>
            <w:right w:val="none" w:sz="0" w:space="0" w:color="auto"/>
          </w:divBdr>
          <w:divsChild>
            <w:div w:id="1750886104">
              <w:marLeft w:val="0"/>
              <w:marRight w:val="0"/>
              <w:marTop w:val="0"/>
              <w:marBottom w:val="0"/>
              <w:divBdr>
                <w:top w:val="none" w:sz="0" w:space="0" w:color="auto"/>
                <w:left w:val="none" w:sz="0" w:space="0" w:color="auto"/>
                <w:bottom w:val="none" w:sz="0" w:space="0" w:color="auto"/>
                <w:right w:val="none" w:sz="0" w:space="0" w:color="auto"/>
              </w:divBdr>
              <w:divsChild>
                <w:div w:id="1311907878">
                  <w:marLeft w:val="0"/>
                  <w:marRight w:val="0"/>
                  <w:marTop w:val="0"/>
                  <w:marBottom w:val="0"/>
                  <w:divBdr>
                    <w:top w:val="none" w:sz="0" w:space="0" w:color="auto"/>
                    <w:left w:val="none" w:sz="0" w:space="0" w:color="auto"/>
                    <w:bottom w:val="none" w:sz="0" w:space="0" w:color="auto"/>
                    <w:right w:val="none" w:sz="0" w:space="0" w:color="auto"/>
                  </w:divBdr>
                  <w:divsChild>
                    <w:div w:id="638001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2554982">
      <w:bodyDiv w:val="1"/>
      <w:marLeft w:val="0"/>
      <w:marRight w:val="0"/>
      <w:marTop w:val="0"/>
      <w:marBottom w:val="0"/>
      <w:divBdr>
        <w:top w:val="none" w:sz="0" w:space="0" w:color="auto"/>
        <w:left w:val="none" w:sz="0" w:space="0" w:color="auto"/>
        <w:bottom w:val="none" w:sz="0" w:space="0" w:color="auto"/>
        <w:right w:val="none" w:sz="0" w:space="0" w:color="auto"/>
      </w:divBdr>
    </w:div>
    <w:div w:id="804735610">
      <w:bodyDiv w:val="1"/>
      <w:marLeft w:val="0"/>
      <w:marRight w:val="0"/>
      <w:marTop w:val="0"/>
      <w:marBottom w:val="0"/>
      <w:divBdr>
        <w:top w:val="none" w:sz="0" w:space="0" w:color="auto"/>
        <w:left w:val="none" w:sz="0" w:space="0" w:color="auto"/>
        <w:bottom w:val="none" w:sz="0" w:space="0" w:color="auto"/>
        <w:right w:val="none" w:sz="0" w:space="0" w:color="auto"/>
      </w:divBdr>
    </w:div>
    <w:div w:id="806355005">
      <w:bodyDiv w:val="1"/>
      <w:marLeft w:val="0"/>
      <w:marRight w:val="0"/>
      <w:marTop w:val="0"/>
      <w:marBottom w:val="0"/>
      <w:divBdr>
        <w:top w:val="none" w:sz="0" w:space="0" w:color="auto"/>
        <w:left w:val="none" w:sz="0" w:space="0" w:color="auto"/>
        <w:bottom w:val="none" w:sz="0" w:space="0" w:color="auto"/>
        <w:right w:val="none" w:sz="0" w:space="0" w:color="auto"/>
      </w:divBdr>
    </w:div>
    <w:div w:id="816457580">
      <w:bodyDiv w:val="1"/>
      <w:marLeft w:val="0"/>
      <w:marRight w:val="0"/>
      <w:marTop w:val="0"/>
      <w:marBottom w:val="0"/>
      <w:divBdr>
        <w:top w:val="none" w:sz="0" w:space="0" w:color="auto"/>
        <w:left w:val="none" w:sz="0" w:space="0" w:color="auto"/>
        <w:bottom w:val="none" w:sz="0" w:space="0" w:color="auto"/>
        <w:right w:val="none" w:sz="0" w:space="0" w:color="auto"/>
      </w:divBdr>
    </w:div>
    <w:div w:id="819620474">
      <w:bodyDiv w:val="1"/>
      <w:marLeft w:val="0"/>
      <w:marRight w:val="0"/>
      <w:marTop w:val="0"/>
      <w:marBottom w:val="0"/>
      <w:divBdr>
        <w:top w:val="none" w:sz="0" w:space="0" w:color="auto"/>
        <w:left w:val="none" w:sz="0" w:space="0" w:color="auto"/>
        <w:bottom w:val="none" w:sz="0" w:space="0" w:color="auto"/>
        <w:right w:val="none" w:sz="0" w:space="0" w:color="auto"/>
      </w:divBdr>
    </w:div>
    <w:div w:id="823552100">
      <w:bodyDiv w:val="1"/>
      <w:marLeft w:val="0"/>
      <w:marRight w:val="0"/>
      <w:marTop w:val="0"/>
      <w:marBottom w:val="0"/>
      <w:divBdr>
        <w:top w:val="none" w:sz="0" w:space="0" w:color="auto"/>
        <w:left w:val="none" w:sz="0" w:space="0" w:color="auto"/>
        <w:bottom w:val="none" w:sz="0" w:space="0" w:color="auto"/>
        <w:right w:val="none" w:sz="0" w:space="0" w:color="auto"/>
      </w:divBdr>
    </w:div>
    <w:div w:id="827356808">
      <w:bodyDiv w:val="1"/>
      <w:marLeft w:val="0"/>
      <w:marRight w:val="0"/>
      <w:marTop w:val="0"/>
      <w:marBottom w:val="0"/>
      <w:divBdr>
        <w:top w:val="none" w:sz="0" w:space="0" w:color="auto"/>
        <w:left w:val="none" w:sz="0" w:space="0" w:color="auto"/>
        <w:bottom w:val="none" w:sz="0" w:space="0" w:color="auto"/>
        <w:right w:val="none" w:sz="0" w:space="0" w:color="auto"/>
      </w:divBdr>
    </w:div>
    <w:div w:id="835922054">
      <w:bodyDiv w:val="1"/>
      <w:marLeft w:val="0"/>
      <w:marRight w:val="0"/>
      <w:marTop w:val="0"/>
      <w:marBottom w:val="0"/>
      <w:divBdr>
        <w:top w:val="none" w:sz="0" w:space="0" w:color="auto"/>
        <w:left w:val="none" w:sz="0" w:space="0" w:color="auto"/>
        <w:bottom w:val="none" w:sz="0" w:space="0" w:color="auto"/>
        <w:right w:val="none" w:sz="0" w:space="0" w:color="auto"/>
      </w:divBdr>
    </w:div>
    <w:div w:id="862476612">
      <w:bodyDiv w:val="1"/>
      <w:marLeft w:val="0"/>
      <w:marRight w:val="0"/>
      <w:marTop w:val="0"/>
      <w:marBottom w:val="0"/>
      <w:divBdr>
        <w:top w:val="none" w:sz="0" w:space="0" w:color="auto"/>
        <w:left w:val="none" w:sz="0" w:space="0" w:color="auto"/>
        <w:bottom w:val="none" w:sz="0" w:space="0" w:color="auto"/>
        <w:right w:val="none" w:sz="0" w:space="0" w:color="auto"/>
      </w:divBdr>
    </w:div>
    <w:div w:id="865020657">
      <w:bodyDiv w:val="1"/>
      <w:marLeft w:val="0"/>
      <w:marRight w:val="0"/>
      <w:marTop w:val="0"/>
      <w:marBottom w:val="0"/>
      <w:divBdr>
        <w:top w:val="none" w:sz="0" w:space="0" w:color="auto"/>
        <w:left w:val="none" w:sz="0" w:space="0" w:color="auto"/>
        <w:bottom w:val="none" w:sz="0" w:space="0" w:color="auto"/>
        <w:right w:val="none" w:sz="0" w:space="0" w:color="auto"/>
      </w:divBdr>
    </w:div>
    <w:div w:id="868642443">
      <w:bodyDiv w:val="1"/>
      <w:marLeft w:val="0"/>
      <w:marRight w:val="0"/>
      <w:marTop w:val="0"/>
      <w:marBottom w:val="0"/>
      <w:divBdr>
        <w:top w:val="none" w:sz="0" w:space="0" w:color="auto"/>
        <w:left w:val="none" w:sz="0" w:space="0" w:color="auto"/>
        <w:bottom w:val="none" w:sz="0" w:space="0" w:color="auto"/>
        <w:right w:val="none" w:sz="0" w:space="0" w:color="auto"/>
      </w:divBdr>
    </w:div>
    <w:div w:id="876965954">
      <w:bodyDiv w:val="1"/>
      <w:marLeft w:val="0"/>
      <w:marRight w:val="0"/>
      <w:marTop w:val="0"/>
      <w:marBottom w:val="0"/>
      <w:divBdr>
        <w:top w:val="none" w:sz="0" w:space="0" w:color="auto"/>
        <w:left w:val="none" w:sz="0" w:space="0" w:color="auto"/>
        <w:bottom w:val="none" w:sz="0" w:space="0" w:color="auto"/>
        <w:right w:val="none" w:sz="0" w:space="0" w:color="auto"/>
      </w:divBdr>
    </w:div>
    <w:div w:id="900217141">
      <w:bodyDiv w:val="1"/>
      <w:marLeft w:val="0"/>
      <w:marRight w:val="0"/>
      <w:marTop w:val="0"/>
      <w:marBottom w:val="0"/>
      <w:divBdr>
        <w:top w:val="none" w:sz="0" w:space="0" w:color="auto"/>
        <w:left w:val="none" w:sz="0" w:space="0" w:color="auto"/>
        <w:bottom w:val="none" w:sz="0" w:space="0" w:color="auto"/>
        <w:right w:val="none" w:sz="0" w:space="0" w:color="auto"/>
      </w:divBdr>
    </w:div>
    <w:div w:id="901330965">
      <w:bodyDiv w:val="1"/>
      <w:marLeft w:val="0"/>
      <w:marRight w:val="0"/>
      <w:marTop w:val="0"/>
      <w:marBottom w:val="0"/>
      <w:divBdr>
        <w:top w:val="none" w:sz="0" w:space="0" w:color="auto"/>
        <w:left w:val="none" w:sz="0" w:space="0" w:color="auto"/>
        <w:bottom w:val="none" w:sz="0" w:space="0" w:color="auto"/>
        <w:right w:val="none" w:sz="0" w:space="0" w:color="auto"/>
      </w:divBdr>
    </w:div>
    <w:div w:id="911112981">
      <w:bodyDiv w:val="1"/>
      <w:marLeft w:val="0"/>
      <w:marRight w:val="0"/>
      <w:marTop w:val="0"/>
      <w:marBottom w:val="0"/>
      <w:divBdr>
        <w:top w:val="none" w:sz="0" w:space="0" w:color="auto"/>
        <w:left w:val="none" w:sz="0" w:space="0" w:color="auto"/>
        <w:bottom w:val="none" w:sz="0" w:space="0" w:color="auto"/>
        <w:right w:val="none" w:sz="0" w:space="0" w:color="auto"/>
      </w:divBdr>
    </w:div>
    <w:div w:id="916012474">
      <w:bodyDiv w:val="1"/>
      <w:marLeft w:val="0"/>
      <w:marRight w:val="0"/>
      <w:marTop w:val="0"/>
      <w:marBottom w:val="0"/>
      <w:divBdr>
        <w:top w:val="none" w:sz="0" w:space="0" w:color="auto"/>
        <w:left w:val="none" w:sz="0" w:space="0" w:color="auto"/>
        <w:bottom w:val="none" w:sz="0" w:space="0" w:color="auto"/>
        <w:right w:val="none" w:sz="0" w:space="0" w:color="auto"/>
      </w:divBdr>
    </w:div>
    <w:div w:id="919409386">
      <w:bodyDiv w:val="1"/>
      <w:marLeft w:val="0"/>
      <w:marRight w:val="0"/>
      <w:marTop w:val="0"/>
      <w:marBottom w:val="0"/>
      <w:divBdr>
        <w:top w:val="none" w:sz="0" w:space="0" w:color="auto"/>
        <w:left w:val="none" w:sz="0" w:space="0" w:color="auto"/>
        <w:bottom w:val="none" w:sz="0" w:space="0" w:color="auto"/>
        <w:right w:val="none" w:sz="0" w:space="0" w:color="auto"/>
      </w:divBdr>
    </w:div>
    <w:div w:id="927539136">
      <w:bodyDiv w:val="1"/>
      <w:marLeft w:val="0"/>
      <w:marRight w:val="0"/>
      <w:marTop w:val="0"/>
      <w:marBottom w:val="0"/>
      <w:divBdr>
        <w:top w:val="none" w:sz="0" w:space="0" w:color="auto"/>
        <w:left w:val="none" w:sz="0" w:space="0" w:color="auto"/>
        <w:bottom w:val="none" w:sz="0" w:space="0" w:color="auto"/>
        <w:right w:val="none" w:sz="0" w:space="0" w:color="auto"/>
      </w:divBdr>
    </w:div>
    <w:div w:id="951591683">
      <w:bodyDiv w:val="1"/>
      <w:marLeft w:val="0"/>
      <w:marRight w:val="0"/>
      <w:marTop w:val="0"/>
      <w:marBottom w:val="0"/>
      <w:divBdr>
        <w:top w:val="none" w:sz="0" w:space="0" w:color="auto"/>
        <w:left w:val="none" w:sz="0" w:space="0" w:color="auto"/>
        <w:bottom w:val="none" w:sz="0" w:space="0" w:color="auto"/>
        <w:right w:val="none" w:sz="0" w:space="0" w:color="auto"/>
      </w:divBdr>
    </w:div>
    <w:div w:id="952249214">
      <w:bodyDiv w:val="1"/>
      <w:marLeft w:val="0"/>
      <w:marRight w:val="0"/>
      <w:marTop w:val="0"/>
      <w:marBottom w:val="0"/>
      <w:divBdr>
        <w:top w:val="none" w:sz="0" w:space="0" w:color="auto"/>
        <w:left w:val="none" w:sz="0" w:space="0" w:color="auto"/>
        <w:bottom w:val="none" w:sz="0" w:space="0" w:color="auto"/>
        <w:right w:val="none" w:sz="0" w:space="0" w:color="auto"/>
      </w:divBdr>
    </w:div>
    <w:div w:id="972053058">
      <w:bodyDiv w:val="1"/>
      <w:marLeft w:val="0"/>
      <w:marRight w:val="0"/>
      <w:marTop w:val="0"/>
      <w:marBottom w:val="0"/>
      <w:divBdr>
        <w:top w:val="none" w:sz="0" w:space="0" w:color="auto"/>
        <w:left w:val="none" w:sz="0" w:space="0" w:color="auto"/>
        <w:bottom w:val="none" w:sz="0" w:space="0" w:color="auto"/>
        <w:right w:val="none" w:sz="0" w:space="0" w:color="auto"/>
      </w:divBdr>
    </w:div>
    <w:div w:id="987856818">
      <w:bodyDiv w:val="1"/>
      <w:marLeft w:val="0"/>
      <w:marRight w:val="0"/>
      <w:marTop w:val="0"/>
      <w:marBottom w:val="0"/>
      <w:divBdr>
        <w:top w:val="none" w:sz="0" w:space="0" w:color="auto"/>
        <w:left w:val="none" w:sz="0" w:space="0" w:color="auto"/>
        <w:bottom w:val="none" w:sz="0" w:space="0" w:color="auto"/>
        <w:right w:val="none" w:sz="0" w:space="0" w:color="auto"/>
      </w:divBdr>
    </w:div>
    <w:div w:id="989597750">
      <w:bodyDiv w:val="1"/>
      <w:marLeft w:val="0"/>
      <w:marRight w:val="0"/>
      <w:marTop w:val="0"/>
      <w:marBottom w:val="0"/>
      <w:divBdr>
        <w:top w:val="none" w:sz="0" w:space="0" w:color="auto"/>
        <w:left w:val="none" w:sz="0" w:space="0" w:color="auto"/>
        <w:bottom w:val="none" w:sz="0" w:space="0" w:color="auto"/>
        <w:right w:val="none" w:sz="0" w:space="0" w:color="auto"/>
      </w:divBdr>
    </w:div>
    <w:div w:id="992176033">
      <w:bodyDiv w:val="1"/>
      <w:marLeft w:val="0"/>
      <w:marRight w:val="0"/>
      <w:marTop w:val="0"/>
      <w:marBottom w:val="0"/>
      <w:divBdr>
        <w:top w:val="none" w:sz="0" w:space="0" w:color="auto"/>
        <w:left w:val="none" w:sz="0" w:space="0" w:color="auto"/>
        <w:bottom w:val="none" w:sz="0" w:space="0" w:color="auto"/>
        <w:right w:val="none" w:sz="0" w:space="0" w:color="auto"/>
      </w:divBdr>
    </w:div>
    <w:div w:id="994186299">
      <w:bodyDiv w:val="1"/>
      <w:marLeft w:val="0"/>
      <w:marRight w:val="0"/>
      <w:marTop w:val="0"/>
      <w:marBottom w:val="0"/>
      <w:divBdr>
        <w:top w:val="none" w:sz="0" w:space="0" w:color="auto"/>
        <w:left w:val="none" w:sz="0" w:space="0" w:color="auto"/>
        <w:bottom w:val="none" w:sz="0" w:space="0" w:color="auto"/>
        <w:right w:val="none" w:sz="0" w:space="0" w:color="auto"/>
      </w:divBdr>
    </w:div>
    <w:div w:id="998310361">
      <w:bodyDiv w:val="1"/>
      <w:marLeft w:val="0"/>
      <w:marRight w:val="0"/>
      <w:marTop w:val="0"/>
      <w:marBottom w:val="0"/>
      <w:divBdr>
        <w:top w:val="none" w:sz="0" w:space="0" w:color="auto"/>
        <w:left w:val="none" w:sz="0" w:space="0" w:color="auto"/>
        <w:bottom w:val="none" w:sz="0" w:space="0" w:color="auto"/>
        <w:right w:val="none" w:sz="0" w:space="0" w:color="auto"/>
      </w:divBdr>
    </w:div>
    <w:div w:id="999305498">
      <w:bodyDiv w:val="1"/>
      <w:marLeft w:val="0"/>
      <w:marRight w:val="0"/>
      <w:marTop w:val="0"/>
      <w:marBottom w:val="0"/>
      <w:divBdr>
        <w:top w:val="none" w:sz="0" w:space="0" w:color="auto"/>
        <w:left w:val="none" w:sz="0" w:space="0" w:color="auto"/>
        <w:bottom w:val="none" w:sz="0" w:space="0" w:color="auto"/>
        <w:right w:val="none" w:sz="0" w:space="0" w:color="auto"/>
      </w:divBdr>
    </w:div>
    <w:div w:id="999626035">
      <w:bodyDiv w:val="1"/>
      <w:marLeft w:val="0"/>
      <w:marRight w:val="0"/>
      <w:marTop w:val="0"/>
      <w:marBottom w:val="0"/>
      <w:divBdr>
        <w:top w:val="none" w:sz="0" w:space="0" w:color="auto"/>
        <w:left w:val="none" w:sz="0" w:space="0" w:color="auto"/>
        <w:bottom w:val="none" w:sz="0" w:space="0" w:color="auto"/>
        <w:right w:val="none" w:sz="0" w:space="0" w:color="auto"/>
      </w:divBdr>
    </w:div>
    <w:div w:id="1016157268">
      <w:bodyDiv w:val="1"/>
      <w:marLeft w:val="0"/>
      <w:marRight w:val="0"/>
      <w:marTop w:val="0"/>
      <w:marBottom w:val="0"/>
      <w:divBdr>
        <w:top w:val="none" w:sz="0" w:space="0" w:color="auto"/>
        <w:left w:val="none" w:sz="0" w:space="0" w:color="auto"/>
        <w:bottom w:val="none" w:sz="0" w:space="0" w:color="auto"/>
        <w:right w:val="none" w:sz="0" w:space="0" w:color="auto"/>
      </w:divBdr>
    </w:div>
    <w:div w:id="1017971606">
      <w:bodyDiv w:val="1"/>
      <w:marLeft w:val="0"/>
      <w:marRight w:val="0"/>
      <w:marTop w:val="0"/>
      <w:marBottom w:val="0"/>
      <w:divBdr>
        <w:top w:val="none" w:sz="0" w:space="0" w:color="auto"/>
        <w:left w:val="none" w:sz="0" w:space="0" w:color="auto"/>
        <w:bottom w:val="none" w:sz="0" w:space="0" w:color="auto"/>
        <w:right w:val="none" w:sz="0" w:space="0" w:color="auto"/>
      </w:divBdr>
      <w:divsChild>
        <w:div w:id="2086949538">
          <w:marLeft w:val="0"/>
          <w:marRight w:val="0"/>
          <w:marTop w:val="0"/>
          <w:marBottom w:val="0"/>
          <w:divBdr>
            <w:top w:val="none" w:sz="0" w:space="0" w:color="auto"/>
            <w:left w:val="none" w:sz="0" w:space="0" w:color="auto"/>
            <w:bottom w:val="none" w:sz="0" w:space="0" w:color="auto"/>
            <w:right w:val="none" w:sz="0" w:space="0" w:color="auto"/>
          </w:divBdr>
          <w:divsChild>
            <w:div w:id="567033513">
              <w:marLeft w:val="0"/>
              <w:marRight w:val="0"/>
              <w:marTop w:val="0"/>
              <w:marBottom w:val="0"/>
              <w:divBdr>
                <w:top w:val="none" w:sz="0" w:space="0" w:color="auto"/>
                <w:left w:val="none" w:sz="0" w:space="0" w:color="auto"/>
                <w:bottom w:val="none" w:sz="0" w:space="0" w:color="auto"/>
                <w:right w:val="none" w:sz="0" w:space="0" w:color="auto"/>
              </w:divBdr>
              <w:divsChild>
                <w:div w:id="1252860160">
                  <w:marLeft w:val="0"/>
                  <w:marRight w:val="0"/>
                  <w:marTop w:val="0"/>
                  <w:marBottom w:val="0"/>
                  <w:divBdr>
                    <w:top w:val="none" w:sz="0" w:space="0" w:color="auto"/>
                    <w:left w:val="none" w:sz="0" w:space="0" w:color="auto"/>
                    <w:bottom w:val="none" w:sz="0" w:space="0" w:color="auto"/>
                    <w:right w:val="none" w:sz="0" w:space="0" w:color="auto"/>
                  </w:divBdr>
                  <w:divsChild>
                    <w:div w:id="884634777">
                      <w:marLeft w:val="0"/>
                      <w:marRight w:val="0"/>
                      <w:marTop w:val="0"/>
                      <w:marBottom w:val="0"/>
                      <w:divBdr>
                        <w:top w:val="none" w:sz="0" w:space="0" w:color="auto"/>
                        <w:left w:val="none" w:sz="0" w:space="0" w:color="auto"/>
                        <w:bottom w:val="none" w:sz="0" w:space="0" w:color="auto"/>
                        <w:right w:val="none" w:sz="0" w:space="0" w:color="auto"/>
                      </w:divBdr>
                      <w:divsChild>
                        <w:div w:id="1970430440">
                          <w:marLeft w:val="0"/>
                          <w:marRight w:val="0"/>
                          <w:marTop w:val="0"/>
                          <w:marBottom w:val="0"/>
                          <w:divBdr>
                            <w:top w:val="none" w:sz="0" w:space="0" w:color="auto"/>
                            <w:left w:val="none" w:sz="0" w:space="0" w:color="auto"/>
                            <w:bottom w:val="none" w:sz="0" w:space="0" w:color="auto"/>
                            <w:right w:val="none" w:sz="0" w:space="0" w:color="auto"/>
                          </w:divBdr>
                          <w:divsChild>
                            <w:div w:id="1129056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2895292">
      <w:bodyDiv w:val="1"/>
      <w:marLeft w:val="0"/>
      <w:marRight w:val="0"/>
      <w:marTop w:val="0"/>
      <w:marBottom w:val="0"/>
      <w:divBdr>
        <w:top w:val="none" w:sz="0" w:space="0" w:color="auto"/>
        <w:left w:val="none" w:sz="0" w:space="0" w:color="auto"/>
        <w:bottom w:val="none" w:sz="0" w:space="0" w:color="auto"/>
        <w:right w:val="none" w:sz="0" w:space="0" w:color="auto"/>
      </w:divBdr>
      <w:divsChild>
        <w:div w:id="1154643267">
          <w:marLeft w:val="0"/>
          <w:marRight w:val="0"/>
          <w:marTop w:val="0"/>
          <w:marBottom w:val="0"/>
          <w:divBdr>
            <w:top w:val="none" w:sz="0" w:space="0" w:color="auto"/>
            <w:left w:val="none" w:sz="0" w:space="0" w:color="auto"/>
            <w:bottom w:val="none" w:sz="0" w:space="0" w:color="auto"/>
            <w:right w:val="none" w:sz="0" w:space="0" w:color="auto"/>
          </w:divBdr>
        </w:div>
      </w:divsChild>
    </w:div>
    <w:div w:id="1025592115">
      <w:bodyDiv w:val="1"/>
      <w:marLeft w:val="0"/>
      <w:marRight w:val="0"/>
      <w:marTop w:val="0"/>
      <w:marBottom w:val="0"/>
      <w:divBdr>
        <w:top w:val="none" w:sz="0" w:space="0" w:color="auto"/>
        <w:left w:val="none" w:sz="0" w:space="0" w:color="auto"/>
        <w:bottom w:val="none" w:sz="0" w:space="0" w:color="auto"/>
        <w:right w:val="none" w:sz="0" w:space="0" w:color="auto"/>
      </w:divBdr>
    </w:div>
    <w:div w:id="1029181968">
      <w:bodyDiv w:val="1"/>
      <w:marLeft w:val="0"/>
      <w:marRight w:val="0"/>
      <w:marTop w:val="0"/>
      <w:marBottom w:val="0"/>
      <w:divBdr>
        <w:top w:val="none" w:sz="0" w:space="0" w:color="auto"/>
        <w:left w:val="none" w:sz="0" w:space="0" w:color="auto"/>
        <w:bottom w:val="none" w:sz="0" w:space="0" w:color="auto"/>
        <w:right w:val="none" w:sz="0" w:space="0" w:color="auto"/>
      </w:divBdr>
    </w:div>
    <w:div w:id="1039890507">
      <w:bodyDiv w:val="1"/>
      <w:marLeft w:val="0"/>
      <w:marRight w:val="0"/>
      <w:marTop w:val="0"/>
      <w:marBottom w:val="0"/>
      <w:divBdr>
        <w:top w:val="none" w:sz="0" w:space="0" w:color="auto"/>
        <w:left w:val="none" w:sz="0" w:space="0" w:color="auto"/>
        <w:bottom w:val="none" w:sz="0" w:space="0" w:color="auto"/>
        <w:right w:val="none" w:sz="0" w:space="0" w:color="auto"/>
      </w:divBdr>
      <w:divsChild>
        <w:div w:id="2061593739">
          <w:marLeft w:val="0"/>
          <w:marRight w:val="0"/>
          <w:marTop w:val="0"/>
          <w:marBottom w:val="0"/>
          <w:divBdr>
            <w:top w:val="none" w:sz="0" w:space="0" w:color="auto"/>
            <w:left w:val="none" w:sz="0" w:space="0" w:color="auto"/>
            <w:bottom w:val="none" w:sz="0" w:space="0" w:color="auto"/>
            <w:right w:val="none" w:sz="0" w:space="0" w:color="auto"/>
          </w:divBdr>
          <w:divsChild>
            <w:div w:id="1535650765">
              <w:marLeft w:val="0"/>
              <w:marRight w:val="0"/>
              <w:marTop w:val="0"/>
              <w:marBottom w:val="0"/>
              <w:divBdr>
                <w:top w:val="none" w:sz="0" w:space="0" w:color="auto"/>
                <w:left w:val="none" w:sz="0" w:space="0" w:color="auto"/>
                <w:bottom w:val="none" w:sz="0" w:space="0" w:color="auto"/>
                <w:right w:val="none" w:sz="0" w:space="0" w:color="auto"/>
              </w:divBdr>
              <w:divsChild>
                <w:div w:id="437412493">
                  <w:marLeft w:val="0"/>
                  <w:marRight w:val="0"/>
                  <w:marTop w:val="0"/>
                  <w:marBottom w:val="0"/>
                  <w:divBdr>
                    <w:top w:val="none" w:sz="0" w:space="0" w:color="auto"/>
                    <w:left w:val="none" w:sz="0" w:space="0" w:color="auto"/>
                    <w:bottom w:val="none" w:sz="0" w:space="0" w:color="auto"/>
                    <w:right w:val="none" w:sz="0" w:space="0" w:color="auto"/>
                  </w:divBdr>
                  <w:divsChild>
                    <w:div w:id="1851413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2437103">
      <w:bodyDiv w:val="1"/>
      <w:marLeft w:val="0"/>
      <w:marRight w:val="0"/>
      <w:marTop w:val="0"/>
      <w:marBottom w:val="0"/>
      <w:divBdr>
        <w:top w:val="none" w:sz="0" w:space="0" w:color="auto"/>
        <w:left w:val="none" w:sz="0" w:space="0" w:color="auto"/>
        <w:bottom w:val="none" w:sz="0" w:space="0" w:color="auto"/>
        <w:right w:val="none" w:sz="0" w:space="0" w:color="auto"/>
      </w:divBdr>
    </w:div>
    <w:div w:id="1060442455">
      <w:bodyDiv w:val="1"/>
      <w:marLeft w:val="0"/>
      <w:marRight w:val="0"/>
      <w:marTop w:val="0"/>
      <w:marBottom w:val="0"/>
      <w:divBdr>
        <w:top w:val="none" w:sz="0" w:space="0" w:color="auto"/>
        <w:left w:val="none" w:sz="0" w:space="0" w:color="auto"/>
        <w:bottom w:val="none" w:sz="0" w:space="0" w:color="auto"/>
        <w:right w:val="none" w:sz="0" w:space="0" w:color="auto"/>
      </w:divBdr>
    </w:div>
    <w:div w:id="1065643312">
      <w:bodyDiv w:val="1"/>
      <w:marLeft w:val="0"/>
      <w:marRight w:val="0"/>
      <w:marTop w:val="0"/>
      <w:marBottom w:val="0"/>
      <w:divBdr>
        <w:top w:val="none" w:sz="0" w:space="0" w:color="auto"/>
        <w:left w:val="none" w:sz="0" w:space="0" w:color="auto"/>
        <w:bottom w:val="none" w:sz="0" w:space="0" w:color="auto"/>
        <w:right w:val="none" w:sz="0" w:space="0" w:color="auto"/>
      </w:divBdr>
    </w:div>
    <w:div w:id="1065834432">
      <w:bodyDiv w:val="1"/>
      <w:marLeft w:val="0"/>
      <w:marRight w:val="0"/>
      <w:marTop w:val="0"/>
      <w:marBottom w:val="0"/>
      <w:divBdr>
        <w:top w:val="none" w:sz="0" w:space="0" w:color="auto"/>
        <w:left w:val="none" w:sz="0" w:space="0" w:color="auto"/>
        <w:bottom w:val="none" w:sz="0" w:space="0" w:color="auto"/>
        <w:right w:val="none" w:sz="0" w:space="0" w:color="auto"/>
      </w:divBdr>
    </w:div>
    <w:div w:id="1104962369">
      <w:bodyDiv w:val="1"/>
      <w:marLeft w:val="0"/>
      <w:marRight w:val="0"/>
      <w:marTop w:val="0"/>
      <w:marBottom w:val="0"/>
      <w:divBdr>
        <w:top w:val="none" w:sz="0" w:space="0" w:color="auto"/>
        <w:left w:val="none" w:sz="0" w:space="0" w:color="auto"/>
        <w:bottom w:val="none" w:sz="0" w:space="0" w:color="auto"/>
        <w:right w:val="none" w:sz="0" w:space="0" w:color="auto"/>
      </w:divBdr>
    </w:div>
    <w:div w:id="1144925836">
      <w:bodyDiv w:val="1"/>
      <w:marLeft w:val="0"/>
      <w:marRight w:val="0"/>
      <w:marTop w:val="0"/>
      <w:marBottom w:val="0"/>
      <w:divBdr>
        <w:top w:val="none" w:sz="0" w:space="0" w:color="auto"/>
        <w:left w:val="none" w:sz="0" w:space="0" w:color="auto"/>
        <w:bottom w:val="none" w:sz="0" w:space="0" w:color="auto"/>
        <w:right w:val="none" w:sz="0" w:space="0" w:color="auto"/>
      </w:divBdr>
    </w:div>
    <w:div w:id="1151142449">
      <w:bodyDiv w:val="1"/>
      <w:marLeft w:val="0"/>
      <w:marRight w:val="0"/>
      <w:marTop w:val="0"/>
      <w:marBottom w:val="0"/>
      <w:divBdr>
        <w:top w:val="none" w:sz="0" w:space="0" w:color="auto"/>
        <w:left w:val="none" w:sz="0" w:space="0" w:color="auto"/>
        <w:bottom w:val="none" w:sz="0" w:space="0" w:color="auto"/>
        <w:right w:val="none" w:sz="0" w:space="0" w:color="auto"/>
      </w:divBdr>
    </w:div>
    <w:div w:id="1151407365">
      <w:bodyDiv w:val="1"/>
      <w:marLeft w:val="0"/>
      <w:marRight w:val="0"/>
      <w:marTop w:val="0"/>
      <w:marBottom w:val="0"/>
      <w:divBdr>
        <w:top w:val="none" w:sz="0" w:space="0" w:color="auto"/>
        <w:left w:val="none" w:sz="0" w:space="0" w:color="auto"/>
        <w:bottom w:val="none" w:sz="0" w:space="0" w:color="auto"/>
        <w:right w:val="none" w:sz="0" w:space="0" w:color="auto"/>
      </w:divBdr>
      <w:divsChild>
        <w:div w:id="764613188">
          <w:marLeft w:val="0"/>
          <w:marRight w:val="0"/>
          <w:marTop w:val="0"/>
          <w:marBottom w:val="0"/>
          <w:divBdr>
            <w:top w:val="none" w:sz="0" w:space="0" w:color="auto"/>
            <w:left w:val="none" w:sz="0" w:space="0" w:color="auto"/>
            <w:bottom w:val="none" w:sz="0" w:space="0" w:color="auto"/>
            <w:right w:val="none" w:sz="0" w:space="0" w:color="auto"/>
          </w:divBdr>
        </w:div>
      </w:divsChild>
    </w:div>
    <w:div w:id="1155099689">
      <w:bodyDiv w:val="1"/>
      <w:marLeft w:val="0"/>
      <w:marRight w:val="0"/>
      <w:marTop w:val="0"/>
      <w:marBottom w:val="0"/>
      <w:divBdr>
        <w:top w:val="none" w:sz="0" w:space="0" w:color="auto"/>
        <w:left w:val="none" w:sz="0" w:space="0" w:color="auto"/>
        <w:bottom w:val="none" w:sz="0" w:space="0" w:color="auto"/>
        <w:right w:val="none" w:sz="0" w:space="0" w:color="auto"/>
      </w:divBdr>
    </w:div>
    <w:div w:id="1155415008">
      <w:bodyDiv w:val="1"/>
      <w:marLeft w:val="0"/>
      <w:marRight w:val="0"/>
      <w:marTop w:val="0"/>
      <w:marBottom w:val="0"/>
      <w:divBdr>
        <w:top w:val="none" w:sz="0" w:space="0" w:color="auto"/>
        <w:left w:val="none" w:sz="0" w:space="0" w:color="auto"/>
        <w:bottom w:val="none" w:sz="0" w:space="0" w:color="auto"/>
        <w:right w:val="none" w:sz="0" w:space="0" w:color="auto"/>
      </w:divBdr>
    </w:div>
    <w:div w:id="1163621747">
      <w:bodyDiv w:val="1"/>
      <w:marLeft w:val="0"/>
      <w:marRight w:val="0"/>
      <w:marTop w:val="0"/>
      <w:marBottom w:val="0"/>
      <w:divBdr>
        <w:top w:val="none" w:sz="0" w:space="0" w:color="auto"/>
        <w:left w:val="none" w:sz="0" w:space="0" w:color="auto"/>
        <w:bottom w:val="none" w:sz="0" w:space="0" w:color="auto"/>
        <w:right w:val="none" w:sz="0" w:space="0" w:color="auto"/>
      </w:divBdr>
    </w:div>
    <w:div w:id="1170557391">
      <w:bodyDiv w:val="1"/>
      <w:marLeft w:val="0"/>
      <w:marRight w:val="0"/>
      <w:marTop w:val="0"/>
      <w:marBottom w:val="0"/>
      <w:divBdr>
        <w:top w:val="none" w:sz="0" w:space="0" w:color="auto"/>
        <w:left w:val="none" w:sz="0" w:space="0" w:color="auto"/>
        <w:bottom w:val="none" w:sz="0" w:space="0" w:color="auto"/>
        <w:right w:val="none" w:sz="0" w:space="0" w:color="auto"/>
      </w:divBdr>
    </w:div>
    <w:div w:id="1198851344">
      <w:bodyDiv w:val="1"/>
      <w:marLeft w:val="0"/>
      <w:marRight w:val="0"/>
      <w:marTop w:val="0"/>
      <w:marBottom w:val="0"/>
      <w:divBdr>
        <w:top w:val="none" w:sz="0" w:space="0" w:color="auto"/>
        <w:left w:val="none" w:sz="0" w:space="0" w:color="auto"/>
        <w:bottom w:val="none" w:sz="0" w:space="0" w:color="auto"/>
        <w:right w:val="none" w:sz="0" w:space="0" w:color="auto"/>
      </w:divBdr>
    </w:div>
    <w:div w:id="1206605888">
      <w:bodyDiv w:val="1"/>
      <w:marLeft w:val="0"/>
      <w:marRight w:val="0"/>
      <w:marTop w:val="0"/>
      <w:marBottom w:val="0"/>
      <w:divBdr>
        <w:top w:val="none" w:sz="0" w:space="0" w:color="auto"/>
        <w:left w:val="none" w:sz="0" w:space="0" w:color="auto"/>
        <w:bottom w:val="none" w:sz="0" w:space="0" w:color="auto"/>
        <w:right w:val="none" w:sz="0" w:space="0" w:color="auto"/>
      </w:divBdr>
    </w:div>
    <w:div w:id="1209952804">
      <w:bodyDiv w:val="1"/>
      <w:marLeft w:val="0"/>
      <w:marRight w:val="0"/>
      <w:marTop w:val="0"/>
      <w:marBottom w:val="0"/>
      <w:divBdr>
        <w:top w:val="none" w:sz="0" w:space="0" w:color="auto"/>
        <w:left w:val="none" w:sz="0" w:space="0" w:color="auto"/>
        <w:bottom w:val="none" w:sz="0" w:space="0" w:color="auto"/>
        <w:right w:val="none" w:sz="0" w:space="0" w:color="auto"/>
      </w:divBdr>
      <w:divsChild>
        <w:div w:id="1701202050">
          <w:marLeft w:val="0"/>
          <w:marRight w:val="0"/>
          <w:marTop w:val="0"/>
          <w:marBottom w:val="0"/>
          <w:divBdr>
            <w:top w:val="none" w:sz="0" w:space="0" w:color="auto"/>
            <w:left w:val="none" w:sz="0" w:space="0" w:color="auto"/>
            <w:bottom w:val="none" w:sz="0" w:space="0" w:color="auto"/>
            <w:right w:val="none" w:sz="0" w:space="0" w:color="auto"/>
          </w:divBdr>
          <w:divsChild>
            <w:div w:id="1366103414">
              <w:marLeft w:val="0"/>
              <w:marRight w:val="0"/>
              <w:marTop w:val="0"/>
              <w:marBottom w:val="0"/>
              <w:divBdr>
                <w:top w:val="none" w:sz="0" w:space="0" w:color="auto"/>
                <w:left w:val="none" w:sz="0" w:space="0" w:color="auto"/>
                <w:bottom w:val="none" w:sz="0" w:space="0" w:color="auto"/>
                <w:right w:val="none" w:sz="0" w:space="0" w:color="auto"/>
              </w:divBdr>
              <w:divsChild>
                <w:div w:id="1366371180">
                  <w:marLeft w:val="0"/>
                  <w:marRight w:val="0"/>
                  <w:marTop w:val="0"/>
                  <w:marBottom w:val="0"/>
                  <w:divBdr>
                    <w:top w:val="none" w:sz="0" w:space="0" w:color="auto"/>
                    <w:left w:val="none" w:sz="0" w:space="0" w:color="auto"/>
                    <w:bottom w:val="none" w:sz="0" w:space="0" w:color="auto"/>
                    <w:right w:val="none" w:sz="0" w:space="0" w:color="auto"/>
                  </w:divBdr>
                  <w:divsChild>
                    <w:div w:id="1032992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1231201">
      <w:bodyDiv w:val="1"/>
      <w:marLeft w:val="0"/>
      <w:marRight w:val="0"/>
      <w:marTop w:val="0"/>
      <w:marBottom w:val="0"/>
      <w:divBdr>
        <w:top w:val="none" w:sz="0" w:space="0" w:color="auto"/>
        <w:left w:val="none" w:sz="0" w:space="0" w:color="auto"/>
        <w:bottom w:val="none" w:sz="0" w:space="0" w:color="auto"/>
        <w:right w:val="none" w:sz="0" w:space="0" w:color="auto"/>
      </w:divBdr>
    </w:div>
    <w:div w:id="1238325222">
      <w:bodyDiv w:val="1"/>
      <w:marLeft w:val="0"/>
      <w:marRight w:val="0"/>
      <w:marTop w:val="0"/>
      <w:marBottom w:val="0"/>
      <w:divBdr>
        <w:top w:val="none" w:sz="0" w:space="0" w:color="auto"/>
        <w:left w:val="none" w:sz="0" w:space="0" w:color="auto"/>
        <w:bottom w:val="none" w:sz="0" w:space="0" w:color="auto"/>
        <w:right w:val="none" w:sz="0" w:space="0" w:color="auto"/>
      </w:divBdr>
    </w:div>
    <w:div w:id="1248268152">
      <w:bodyDiv w:val="1"/>
      <w:marLeft w:val="0"/>
      <w:marRight w:val="0"/>
      <w:marTop w:val="0"/>
      <w:marBottom w:val="0"/>
      <w:divBdr>
        <w:top w:val="none" w:sz="0" w:space="0" w:color="auto"/>
        <w:left w:val="none" w:sz="0" w:space="0" w:color="auto"/>
        <w:bottom w:val="none" w:sz="0" w:space="0" w:color="auto"/>
        <w:right w:val="none" w:sz="0" w:space="0" w:color="auto"/>
      </w:divBdr>
    </w:div>
    <w:div w:id="1248538923">
      <w:bodyDiv w:val="1"/>
      <w:marLeft w:val="0"/>
      <w:marRight w:val="0"/>
      <w:marTop w:val="0"/>
      <w:marBottom w:val="0"/>
      <w:divBdr>
        <w:top w:val="none" w:sz="0" w:space="0" w:color="auto"/>
        <w:left w:val="none" w:sz="0" w:space="0" w:color="auto"/>
        <w:bottom w:val="none" w:sz="0" w:space="0" w:color="auto"/>
        <w:right w:val="none" w:sz="0" w:space="0" w:color="auto"/>
      </w:divBdr>
    </w:div>
    <w:div w:id="1257638254">
      <w:bodyDiv w:val="1"/>
      <w:marLeft w:val="0"/>
      <w:marRight w:val="0"/>
      <w:marTop w:val="0"/>
      <w:marBottom w:val="0"/>
      <w:divBdr>
        <w:top w:val="none" w:sz="0" w:space="0" w:color="auto"/>
        <w:left w:val="none" w:sz="0" w:space="0" w:color="auto"/>
        <w:bottom w:val="none" w:sz="0" w:space="0" w:color="auto"/>
        <w:right w:val="none" w:sz="0" w:space="0" w:color="auto"/>
      </w:divBdr>
    </w:div>
    <w:div w:id="1258558880">
      <w:bodyDiv w:val="1"/>
      <w:marLeft w:val="0"/>
      <w:marRight w:val="0"/>
      <w:marTop w:val="0"/>
      <w:marBottom w:val="0"/>
      <w:divBdr>
        <w:top w:val="none" w:sz="0" w:space="0" w:color="auto"/>
        <w:left w:val="none" w:sz="0" w:space="0" w:color="auto"/>
        <w:bottom w:val="none" w:sz="0" w:space="0" w:color="auto"/>
        <w:right w:val="none" w:sz="0" w:space="0" w:color="auto"/>
      </w:divBdr>
    </w:div>
    <w:div w:id="1262491394">
      <w:bodyDiv w:val="1"/>
      <w:marLeft w:val="0"/>
      <w:marRight w:val="0"/>
      <w:marTop w:val="0"/>
      <w:marBottom w:val="0"/>
      <w:divBdr>
        <w:top w:val="none" w:sz="0" w:space="0" w:color="auto"/>
        <w:left w:val="none" w:sz="0" w:space="0" w:color="auto"/>
        <w:bottom w:val="none" w:sz="0" w:space="0" w:color="auto"/>
        <w:right w:val="none" w:sz="0" w:space="0" w:color="auto"/>
      </w:divBdr>
    </w:div>
    <w:div w:id="1262568686">
      <w:bodyDiv w:val="1"/>
      <w:marLeft w:val="0"/>
      <w:marRight w:val="0"/>
      <w:marTop w:val="0"/>
      <w:marBottom w:val="0"/>
      <w:divBdr>
        <w:top w:val="none" w:sz="0" w:space="0" w:color="auto"/>
        <w:left w:val="none" w:sz="0" w:space="0" w:color="auto"/>
        <w:bottom w:val="none" w:sz="0" w:space="0" w:color="auto"/>
        <w:right w:val="none" w:sz="0" w:space="0" w:color="auto"/>
      </w:divBdr>
    </w:div>
    <w:div w:id="1267079352">
      <w:bodyDiv w:val="1"/>
      <w:marLeft w:val="0"/>
      <w:marRight w:val="0"/>
      <w:marTop w:val="0"/>
      <w:marBottom w:val="0"/>
      <w:divBdr>
        <w:top w:val="none" w:sz="0" w:space="0" w:color="auto"/>
        <w:left w:val="none" w:sz="0" w:space="0" w:color="auto"/>
        <w:bottom w:val="none" w:sz="0" w:space="0" w:color="auto"/>
        <w:right w:val="none" w:sz="0" w:space="0" w:color="auto"/>
      </w:divBdr>
    </w:div>
    <w:div w:id="1311399256">
      <w:bodyDiv w:val="1"/>
      <w:marLeft w:val="0"/>
      <w:marRight w:val="0"/>
      <w:marTop w:val="0"/>
      <w:marBottom w:val="0"/>
      <w:divBdr>
        <w:top w:val="none" w:sz="0" w:space="0" w:color="auto"/>
        <w:left w:val="none" w:sz="0" w:space="0" w:color="auto"/>
        <w:bottom w:val="none" w:sz="0" w:space="0" w:color="auto"/>
        <w:right w:val="none" w:sz="0" w:space="0" w:color="auto"/>
      </w:divBdr>
    </w:div>
    <w:div w:id="1314526959">
      <w:bodyDiv w:val="1"/>
      <w:marLeft w:val="0"/>
      <w:marRight w:val="0"/>
      <w:marTop w:val="0"/>
      <w:marBottom w:val="0"/>
      <w:divBdr>
        <w:top w:val="none" w:sz="0" w:space="0" w:color="auto"/>
        <w:left w:val="none" w:sz="0" w:space="0" w:color="auto"/>
        <w:bottom w:val="none" w:sz="0" w:space="0" w:color="auto"/>
        <w:right w:val="none" w:sz="0" w:space="0" w:color="auto"/>
      </w:divBdr>
    </w:div>
    <w:div w:id="1314605288">
      <w:bodyDiv w:val="1"/>
      <w:marLeft w:val="0"/>
      <w:marRight w:val="0"/>
      <w:marTop w:val="0"/>
      <w:marBottom w:val="0"/>
      <w:divBdr>
        <w:top w:val="none" w:sz="0" w:space="0" w:color="auto"/>
        <w:left w:val="none" w:sz="0" w:space="0" w:color="auto"/>
        <w:bottom w:val="none" w:sz="0" w:space="0" w:color="auto"/>
        <w:right w:val="none" w:sz="0" w:space="0" w:color="auto"/>
      </w:divBdr>
    </w:div>
    <w:div w:id="1315062890">
      <w:bodyDiv w:val="1"/>
      <w:marLeft w:val="0"/>
      <w:marRight w:val="0"/>
      <w:marTop w:val="0"/>
      <w:marBottom w:val="0"/>
      <w:divBdr>
        <w:top w:val="none" w:sz="0" w:space="0" w:color="auto"/>
        <w:left w:val="none" w:sz="0" w:space="0" w:color="auto"/>
        <w:bottom w:val="none" w:sz="0" w:space="0" w:color="auto"/>
        <w:right w:val="none" w:sz="0" w:space="0" w:color="auto"/>
      </w:divBdr>
    </w:div>
    <w:div w:id="1320308012">
      <w:bodyDiv w:val="1"/>
      <w:marLeft w:val="0"/>
      <w:marRight w:val="0"/>
      <w:marTop w:val="0"/>
      <w:marBottom w:val="0"/>
      <w:divBdr>
        <w:top w:val="none" w:sz="0" w:space="0" w:color="auto"/>
        <w:left w:val="none" w:sz="0" w:space="0" w:color="auto"/>
        <w:bottom w:val="none" w:sz="0" w:space="0" w:color="auto"/>
        <w:right w:val="none" w:sz="0" w:space="0" w:color="auto"/>
      </w:divBdr>
    </w:div>
    <w:div w:id="1329867095">
      <w:bodyDiv w:val="1"/>
      <w:marLeft w:val="0"/>
      <w:marRight w:val="0"/>
      <w:marTop w:val="0"/>
      <w:marBottom w:val="0"/>
      <w:divBdr>
        <w:top w:val="none" w:sz="0" w:space="0" w:color="auto"/>
        <w:left w:val="none" w:sz="0" w:space="0" w:color="auto"/>
        <w:bottom w:val="none" w:sz="0" w:space="0" w:color="auto"/>
        <w:right w:val="none" w:sz="0" w:space="0" w:color="auto"/>
      </w:divBdr>
    </w:div>
    <w:div w:id="1331761526">
      <w:bodyDiv w:val="1"/>
      <w:marLeft w:val="0"/>
      <w:marRight w:val="0"/>
      <w:marTop w:val="0"/>
      <w:marBottom w:val="0"/>
      <w:divBdr>
        <w:top w:val="none" w:sz="0" w:space="0" w:color="auto"/>
        <w:left w:val="none" w:sz="0" w:space="0" w:color="auto"/>
        <w:bottom w:val="none" w:sz="0" w:space="0" w:color="auto"/>
        <w:right w:val="none" w:sz="0" w:space="0" w:color="auto"/>
      </w:divBdr>
    </w:div>
    <w:div w:id="1332216202">
      <w:bodyDiv w:val="1"/>
      <w:marLeft w:val="0"/>
      <w:marRight w:val="0"/>
      <w:marTop w:val="0"/>
      <w:marBottom w:val="0"/>
      <w:divBdr>
        <w:top w:val="none" w:sz="0" w:space="0" w:color="auto"/>
        <w:left w:val="none" w:sz="0" w:space="0" w:color="auto"/>
        <w:bottom w:val="none" w:sz="0" w:space="0" w:color="auto"/>
        <w:right w:val="none" w:sz="0" w:space="0" w:color="auto"/>
      </w:divBdr>
    </w:div>
    <w:div w:id="1350909833">
      <w:bodyDiv w:val="1"/>
      <w:marLeft w:val="0"/>
      <w:marRight w:val="0"/>
      <w:marTop w:val="0"/>
      <w:marBottom w:val="0"/>
      <w:divBdr>
        <w:top w:val="none" w:sz="0" w:space="0" w:color="auto"/>
        <w:left w:val="none" w:sz="0" w:space="0" w:color="auto"/>
        <w:bottom w:val="none" w:sz="0" w:space="0" w:color="auto"/>
        <w:right w:val="none" w:sz="0" w:space="0" w:color="auto"/>
      </w:divBdr>
    </w:div>
    <w:div w:id="1358850686">
      <w:bodyDiv w:val="1"/>
      <w:marLeft w:val="0"/>
      <w:marRight w:val="0"/>
      <w:marTop w:val="0"/>
      <w:marBottom w:val="0"/>
      <w:divBdr>
        <w:top w:val="none" w:sz="0" w:space="0" w:color="auto"/>
        <w:left w:val="none" w:sz="0" w:space="0" w:color="auto"/>
        <w:bottom w:val="none" w:sz="0" w:space="0" w:color="auto"/>
        <w:right w:val="none" w:sz="0" w:space="0" w:color="auto"/>
      </w:divBdr>
    </w:div>
    <w:div w:id="1380938552">
      <w:bodyDiv w:val="1"/>
      <w:marLeft w:val="0"/>
      <w:marRight w:val="0"/>
      <w:marTop w:val="0"/>
      <w:marBottom w:val="0"/>
      <w:divBdr>
        <w:top w:val="none" w:sz="0" w:space="0" w:color="auto"/>
        <w:left w:val="none" w:sz="0" w:space="0" w:color="auto"/>
        <w:bottom w:val="none" w:sz="0" w:space="0" w:color="auto"/>
        <w:right w:val="none" w:sz="0" w:space="0" w:color="auto"/>
      </w:divBdr>
      <w:divsChild>
        <w:div w:id="588125317">
          <w:marLeft w:val="0"/>
          <w:marRight w:val="0"/>
          <w:marTop w:val="0"/>
          <w:marBottom w:val="0"/>
          <w:divBdr>
            <w:top w:val="none" w:sz="0" w:space="0" w:color="auto"/>
            <w:left w:val="none" w:sz="0" w:space="0" w:color="auto"/>
            <w:bottom w:val="none" w:sz="0" w:space="0" w:color="auto"/>
            <w:right w:val="none" w:sz="0" w:space="0" w:color="auto"/>
          </w:divBdr>
        </w:div>
      </w:divsChild>
    </w:div>
    <w:div w:id="1382822559">
      <w:bodyDiv w:val="1"/>
      <w:marLeft w:val="0"/>
      <w:marRight w:val="0"/>
      <w:marTop w:val="0"/>
      <w:marBottom w:val="0"/>
      <w:divBdr>
        <w:top w:val="none" w:sz="0" w:space="0" w:color="auto"/>
        <w:left w:val="none" w:sz="0" w:space="0" w:color="auto"/>
        <w:bottom w:val="none" w:sz="0" w:space="0" w:color="auto"/>
        <w:right w:val="none" w:sz="0" w:space="0" w:color="auto"/>
      </w:divBdr>
    </w:div>
    <w:div w:id="1385324322">
      <w:bodyDiv w:val="1"/>
      <w:marLeft w:val="0"/>
      <w:marRight w:val="0"/>
      <w:marTop w:val="0"/>
      <w:marBottom w:val="0"/>
      <w:divBdr>
        <w:top w:val="none" w:sz="0" w:space="0" w:color="auto"/>
        <w:left w:val="none" w:sz="0" w:space="0" w:color="auto"/>
        <w:bottom w:val="none" w:sz="0" w:space="0" w:color="auto"/>
        <w:right w:val="none" w:sz="0" w:space="0" w:color="auto"/>
      </w:divBdr>
    </w:div>
    <w:div w:id="1391348014">
      <w:bodyDiv w:val="1"/>
      <w:marLeft w:val="0"/>
      <w:marRight w:val="0"/>
      <w:marTop w:val="0"/>
      <w:marBottom w:val="0"/>
      <w:divBdr>
        <w:top w:val="none" w:sz="0" w:space="0" w:color="auto"/>
        <w:left w:val="none" w:sz="0" w:space="0" w:color="auto"/>
        <w:bottom w:val="none" w:sz="0" w:space="0" w:color="auto"/>
        <w:right w:val="none" w:sz="0" w:space="0" w:color="auto"/>
      </w:divBdr>
    </w:div>
    <w:div w:id="1401437692">
      <w:bodyDiv w:val="1"/>
      <w:marLeft w:val="0"/>
      <w:marRight w:val="0"/>
      <w:marTop w:val="0"/>
      <w:marBottom w:val="0"/>
      <w:divBdr>
        <w:top w:val="none" w:sz="0" w:space="0" w:color="auto"/>
        <w:left w:val="none" w:sz="0" w:space="0" w:color="auto"/>
        <w:bottom w:val="none" w:sz="0" w:space="0" w:color="auto"/>
        <w:right w:val="none" w:sz="0" w:space="0" w:color="auto"/>
      </w:divBdr>
    </w:div>
    <w:div w:id="1401562049">
      <w:bodyDiv w:val="1"/>
      <w:marLeft w:val="0"/>
      <w:marRight w:val="0"/>
      <w:marTop w:val="0"/>
      <w:marBottom w:val="0"/>
      <w:divBdr>
        <w:top w:val="none" w:sz="0" w:space="0" w:color="auto"/>
        <w:left w:val="none" w:sz="0" w:space="0" w:color="auto"/>
        <w:bottom w:val="none" w:sz="0" w:space="0" w:color="auto"/>
        <w:right w:val="none" w:sz="0" w:space="0" w:color="auto"/>
      </w:divBdr>
    </w:div>
    <w:div w:id="1402024192">
      <w:bodyDiv w:val="1"/>
      <w:marLeft w:val="0"/>
      <w:marRight w:val="0"/>
      <w:marTop w:val="0"/>
      <w:marBottom w:val="0"/>
      <w:divBdr>
        <w:top w:val="none" w:sz="0" w:space="0" w:color="auto"/>
        <w:left w:val="none" w:sz="0" w:space="0" w:color="auto"/>
        <w:bottom w:val="none" w:sz="0" w:space="0" w:color="auto"/>
        <w:right w:val="none" w:sz="0" w:space="0" w:color="auto"/>
      </w:divBdr>
    </w:div>
    <w:div w:id="1405182377">
      <w:bodyDiv w:val="1"/>
      <w:marLeft w:val="0"/>
      <w:marRight w:val="0"/>
      <w:marTop w:val="0"/>
      <w:marBottom w:val="0"/>
      <w:divBdr>
        <w:top w:val="none" w:sz="0" w:space="0" w:color="auto"/>
        <w:left w:val="none" w:sz="0" w:space="0" w:color="auto"/>
        <w:bottom w:val="none" w:sz="0" w:space="0" w:color="auto"/>
        <w:right w:val="none" w:sz="0" w:space="0" w:color="auto"/>
      </w:divBdr>
      <w:divsChild>
        <w:div w:id="437288657">
          <w:marLeft w:val="480"/>
          <w:marRight w:val="0"/>
          <w:marTop w:val="0"/>
          <w:marBottom w:val="0"/>
          <w:divBdr>
            <w:top w:val="none" w:sz="0" w:space="0" w:color="auto"/>
            <w:left w:val="none" w:sz="0" w:space="0" w:color="auto"/>
            <w:bottom w:val="none" w:sz="0" w:space="0" w:color="auto"/>
            <w:right w:val="none" w:sz="0" w:space="0" w:color="auto"/>
          </w:divBdr>
          <w:divsChild>
            <w:div w:id="709763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6628147">
      <w:bodyDiv w:val="1"/>
      <w:marLeft w:val="0"/>
      <w:marRight w:val="0"/>
      <w:marTop w:val="0"/>
      <w:marBottom w:val="0"/>
      <w:divBdr>
        <w:top w:val="none" w:sz="0" w:space="0" w:color="auto"/>
        <w:left w:val="none" w:sz="0" w:space="0" w:color="auto"/>
        <w:bottom w:val="none" w:sz="0" w:space="0" w:color="auto"/>
        <w:right w:val="none" w:sz="0" w:space="0" w:color="auto"/>
      </w:divBdr>
    </w:div>
    <w:div w:id="1425809893">
      <w:bodyDiv w:val="1"/>
      <w:marLeft w:val="0"/>
      <w:marRight w:val="0"/>
      <w:marTop w:val="0"/>
      <w:marBottom w:val="0"/>
      <w:divBdr>
        <w:top w:val="none" w:sz="0" w:space="0" w:color="auto"/>
        <w:left w:val="none" w:sz="0" w:space="0" w:color="auto"/>
        <w:bottom w:val="none" w:sz="0" w:space="0" w:color="auto"/>
        <w:right w:val="none" w:sz="0" w:space="0" w:color="auto"/>
      </w:divBdr>
    </w:div>
    <w:div w:id="1429346856">
      <w:bodyDiv w:val="1"/>
      <w:marLeft w:val="0"/>
      <w:marRight w:val="0"/>
      <w:marTop w:val="0"/>
      <w:marBottom w:val="0"/>
      <w:divBdr>
        <w:top w:val="none" w:sz="0" w:space="0" w:color="auto"/>
        <w:left w:val="none" w:sz="0" w:space="0" w:color="auto"/>
        <w:bottom w:val="none" w:sz="0" w:space="0" w:color="auto"/>
        <w:right w:val="none" w:sz="0" w:space="0" w:color="auto"/>
      </w:divBdr>
      <w:divsChild>
        <w:div w:id="1014378772">
          <w:marLeft w:val="0"/>
          <w:marRight w:val="0"/>
          <w:marTop w:val="0"/>
          <w:marBottom w:val="0"/>
          <w:divBdr>
            <w:top w:val="none" w:sz="0" w:space="0" w:color="auto"/>
            <w:left w:val="none" w:sz="0" w:space="0" w:color="auto"/>
            <w:bottom w:val="none" w:sz="0" w:space="0" w:color="auto"/>
            <w:right w:val="none" w:sz="0" w:space="0" w:color="auto"/>
          </w:divBdr>
          <w:divsChild>
            <w:div w:id="377046015">
              <w:marLeft w:val="0"/>
              <w:marRight w:val="0"/>
              <w:marTop w:val="0"/>
              <w:marBottom w:val="0"/>
              <w:divBdr>
                <w:top w:val="none" w:sz="0" w:space="0" w:color="auto"/>
                <w:left w:val="none" w:sz="0" w:space="0" w:color="auto"/>
                <w:bottom w:val="none" w:sz="0" w:space="0" w:color="auto"/>
                <w:right w:val="none" w:sz="0" w:space="0" w:color="auto"/>
              </w:divBdr>
              <w:divsChild>
                <w:div w:id="1023943503">
                  <w:marLeft w:val="0"/>
                  <w:marRight w:val="0"/>
                  <w:marTop w:val="0"/>
                  <w:marBottom w:val="0"/>
                  <w:divBdr>
                    <w:top w:val="none" w:sz="0" w:space="0" w:color="auto"/>
                    <w:left w:val="none" w:sz="0" w:space="0" w:color="auto"/>
                    <w:bottom w:val="none" w:sz="0" w:space="0" w:color="auto"/>
                    <w:right w:val="none" w:sz="0" w:space="0" w:color="auto"/>
                  </w:divBdr>
                  <w:divsChild>
                    <w:div w:id="513961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656463">
      <w:bodyDiv w:val="1"/>
      <w:marLeft w:val="0"/>
      <w:marRight w:val="0"/>
      <w:marTop w:val="0"/>
      <w:marBottom w:val="0"/>
      <w:divBdr>
        <w:top w:val="none" w:sz="0" w:space="0" w:color="auto"/>
        <w:left w:val="none" w:sz="0" w:space="0" w:color="auto"/>
        <w:bottom w:val="none" w:sz="0" w:space="0" w:color="auto"/>
        <w:right w:val="none" w:sz="0" w:space="0" w:color="auto"/>
      </w:divBdr>
      <w:divsChild>
        <w:div w:id="140468566">
          <w:marLeft w:val="0"/>
          <w:marRight w:val="0"/>
          <w:marTop w:val="0"/>
          <w:marBottom w:val="0"/>
          <w:divBdr>
            <w:top w:val="none" w:sz="0" w:space="0" w:color="auto"/>
            <w:left w:val="none" w:sz="0" w:space="0" w:color="auto"/>
            <w:bottom w:val="none" w:sz="0" w:space="0" w:color="auto"/>
            <w:right w:val="none" w:sz="0" w:space="0" w:color="auto"/>
          </w:divBdr>
        </w:div>
        <w:div w:id="481849692">
          <w:marLeft w:val="0"/>
          <w:marRight w:val="0"/>
          <w:marTop w:val="0"/>
          <w:marBottom w:val="0"/>
          <w:divBdr>
            <w:top w:val="none" w:sz="0" w:space="0" w:color="auto"/>
            <w:left w:val="none" w:sz="0" w:space="0" w:color="auto"/>
            <w:bottom w:val="none" w:sz="0" w:space="0" w:color="auto"/>
            <w:right w:val="none" w:sz="0" w:space="0" w:color="auto"/>
          </w:divBdr>
        </w:div>
        <w:div w:id="596522011">
          <w:marLeft w:val="0"/>
          <w:marRight w:val="0"/>
          <w:marTop w:val="0"/>
          <w:marBottom w:val="0"/>
          <w:divBdr>
            <w:top w:val="none" w:sz="0" w:space="0" w:color="auto"/>
            <w:left w:val="none" w:sz="0" w:space="0" w:color="auto"/>
            <w:bottom w:val="none" w:sz="0" w:space="0" w:color="auto"/>
            <w:right w:val="none" w:sz="0" w:space="0" w:color="auto"/>
          </w:divBdr>
        </w:div>
        <w:div w:id="1027756088">
          <w:marLeft w:val="0"/>
          <w:marRight w:val="0"/>
          <w:marTop w:val="0"/>
          <w:marBottom w:val="0"/>
          <w:divBdr>
            <w:top w:val="none" w:sz="0" w:space="0" w:color="auto"/>
            <w:left w:val="none" w:sz="0" w:space="0" w:color="auto"/>
            <w:bottom w:val="none" w:sz="0" w:space="0" w:color="auto"/>
            <w:right w:val="none" w:sz="0" w:space="0" w:color="auto"/>
          </w:divBdr>
        </w:div>
        <w:div w:id="1119958277">
          <w:marLeft w:val="0"/>
          <w:marRight w:val="0"/>
          <w:marTop w:val="0"/>
          <w:marBottom w:val="0"/>
          <w:divBdr>
            <w:top w:val="none" w:sz="0" w:space="0" w:color="auto"/>
            <w:left w:val="none" w:sz="0" w:space="0" w:color="auto"/>
            <w:bottom w:val="none" w:sz="0" w:space="0" w:color="auto"/>
            <w:right w:val="none" w:sz="0" w:space="0" w:color="auto"/>
          </w:divBdr>
        </w:div>
        <w:div w:id="1710374284">
          <w:marLeft w:val="0"/>
          <w:marRight w:val="0"/>
          <w:marTop w:val="0"/>
          <w:marBottom w:val="0"/>
          <w:divBdr>
            <w:top w:val="none" w:sz="0" w:space="0" w:color="auto"/>
            <w:left w:val="none" w:sz="0" w:space="0" w:color="auto"/>
            <w:bottom w:val="none" w:sz="0" w:space="0" w:color="auto"/>
            <w:right w:val="none" w:sz="0" w:space="0" w:color="auto"/>
          </w:divBdr>
        </w:div>
        <w:div w:id="1929541199">
          <w:marLeft w:val="0"/>
          <w:marRight w:val="0"/>
          <w:marTop w:val="0"/>
          <w:marBottom w:val="0"/>
          <w:divBdr>
            <w:top w:val="none" w:sz="0" w:space="0" w:color="auto"/>
            <w:left w:val="none" w:sz="0" w:space="0" w:color="auto"/>
            <w:bottom w:val="none" w:sz="0" w:space="0" w:color="auto"/>
            <w:right w:val="none" w:sz="0" w:space="0" w:color="auto"/>
          </w:divBdr>
        </w:div>
        <w:div w:id="2096515953">
          <w:marLeft w:val="0"/>
          <w:marRight w:val="0"/>
          <w:marTop w:val="0"/>
          <w:marBottom w:val="0"/>
          <w:divBdr>
            <w:top w:val="none" w:sz="0" w:space="0" w:color="auto"/>
            <w:left w:val="none" w:sz="0" w:space="0" w:color="auto"/>
            <w:bottom w:val="none" w:sz="0" w:space="0" w:color="auto"/>
            <w:right w:val="none" w:sz="0" w:space="0" w:color="auto"/>
          </w:divBdr>
        </w:div>
      </w:divsChild>
    </w:div>
    <w:div w:id="1445152563">
      <w:bodyDiv w:val="1"/>
      <w:marLeft w:val="0"/>
      <w:marRight w:val="0"/>
      <w:marTop w:val="0"/>
      <w:marBottom w:val="0"/>
      <w:divBdr>
        <w:top w:val="none" w:sz="0" w:space="0" w:color="auto"/>
        <w:left w:val="none" w:sz="0" w:space="0" w:color="auto"/>
        <w:bottom w:val="none" w:sz="0" w:space="0" w:color="auto"/>
        <w:right w:val="none" w:sz="0" w:space="0" w:color="auto"/>
      </w:divBdr>
    </w:div>
    <w:div w:id="1449818299">
      <w:bodyDiv w:val="1"/>
      <w:marLeft w:val="0"/>
      <w:marRight w:val="0"/>
      <w:marTop w:val="0"/>
      <w:marBottom w:val="0"/>
      <w:divBdr>
        <w:top w:val="none" w:sz="0" w:space="0" w:color="auto"/>
        <w:left w:val="none" w:sz="0" w:space="0" w:color="auto"/>
        <w:bottom w:val="none" w:sz="0" w:space="0" w:color="auto"/>
        <w:right w:val="none" w:sz="0" w:space="0" w:color="auto"/>
      </w:divBdr>
      <w:divsChild>
        <w:div w:id="840582348">
          <w:marLeft w:val="0"/>
          <w:marRight w:val="0"/>
          <w:marTop w:val="0"/>
          <w:marBottom w:val="0"/>
          <w:divBdr>
            <w:top w:val="none" w:sz="0" w:space="0" w:color="auto"/>
            <w:left w:val="none" w:sz="0" w:space="0" w:color="auto"/>
            <w:bottom w:val="none" w:sz="0" w:space="0" w:color="auto"/>
            <w:right w:val="none" w:sz="0" w:space="0" w:color="auto"/>
          </w:divBdr>
          <w:divsChild>
            <w:div w:id="1276524412">
              <w:marLeft w:val="0"/>
              <w:marRight w:val="0"/>
              <w:marTop w:val="0"/>
              <w:marBottom w:val="0"/>
              <w:divBdr>
                <w:top w:val="none" w:sz="0" w:space="0" w:color="auto"/>
                <w:left w:val="none" w:sz="0" w:space="0" w:color="auto"/>
                <w:bottom w:val="none" w:sz="0" w:space="0" w:color="auto"/>
                <w:right w:val="none" w:sz="0" w:space="0" w:color="auto"/>
              </w:divBdr>
              <w:divsChild>
                <w:div w:id="170023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115457">
      <w:bodyDiv w:val="1"/>
      <w:marLeft w:val="0"/>
      <w:marRight w:val="0"/>
      <w:marTop w:val="0"/>
      <w:marBottom w:val="0"/>
      <w:divBdr>
        <w:top w:val="none" w:sz="0" w:space="0" w:color="auto"/>
        <w:left w:val="none" w:sz="0" w:space="0" w:color="auto"/>
        <w:bottom w:val="none" w:sz="0" w:space="0" w:color="auto"/>
        <w:right w:val="none" w:sz="0" w:space="0" w:color="auto"/>
      </w:divBdr>
    </w:div>
    <w:div w:id="1469863617">
      <w:bodyDiv w:val="1"/>
      <w:marLeft w:val="0"/>
      <w:marRight w:val="0"/>
      <w:marTop w:val="0"/>
      <w:marBottom w:val="0"/>
      <w:divBdr>
        <w:top w:val="none" w:sz="0" w:space="0" w:color="auto"/>
        <w:left w:val="none" w:sz="0" w:space="0" w:color="auto"/>
        <w:bottom w:val="none" w:sz="0" w:space="0" w:color="auto"/>
        <w:right w:val="none" w:sz="0" w:space="0" w:color="auto"/>
      </w:divBdr>
    </w:div>
    <w:div w:id="1470130367">
      <w:bodyDiv w:val="1"/>
      <w:marLeft w:val="0"/>
      <w:marRight w:val="0"/>
      <w:marTop w:val="0"/>
      <w:marBottom w:val="0"/>
      <w:divBdr>
        <w:top w:val="none" w:sz="0" w:space="0" w:color="auto"/>
        <w:left w:val="none" w:sz="0" w:space="0" w:color="auto"/>
        <w:bottom w:val="none" w:sz="0" w:space="0" w:color="auto"/>
        <w:right w:val="none" w:sz="0" w:space="0" w:color="auto"/>
      </w:divBdr>
    </w:div>
    <w:div w:id="1484928320">
      <w:bodyDiv w:val="1"/>
      <w:marLeft w:val="0"/>
      <w:marRight w:val="0"/>
      <w:marTop w:val="0"/>
      <w:marBottom w:val="0"/>
      <w:divBdr>
        <w:top w:val="none" w:sz="0" w:space="0" w:color="auto"/>
        <w:left w:val="none" w:sz="0" w:space="0" w:color="auto"/>
        <w:bottom w:val="none" w:sz="0" w:space="0" w:color="auto"/>
        <w:right w:val="none" w:sz="0" w:space="0" w:color="auto"/>
      </w:divBdr>
    </w:div>
    <w:div w:id="1487815397">
      <w:bodyDiv w:val="1"/>
      <w:marLeft w:val="0"/>
      <w:marRight w:val="0"/>
      <w:marTop w:val="0"/>
      <w:marBottom w:val="0"/>
      <w:divBdr>
        <w:top w:val="none" w:sz="0" w:space="0" w:color="auto"/>
        <w:left w:val="none" w:sz="0" w:space="0" w:color="auto"/>
        <w:bottom w:val="none" w:sz="0" w:space="0" w:color="auto"/>
        <w:right w:val="none" w:sz="0" w:space="0" w:color="auto"/>
      </w:divBdr>
    </w:div>
    <w:div w:id="1494031051">
      <w:bodyDiv w:val="1"/>
      <w:marLeft w:val="0"/>
      <w:marRight w:val="0"/>
      <w:marTop w:val="0"/>
      <w:marBottom w:val="0"/>
      <w:divBdr>
        <w:top w:val="none" w:sz="0" w:space="0" w:color="auto"/>
        <w:left w:val="none" w:sz="0" w:space="0" w:color="auto"/>
        <w:bottom w:val="none" w:sz="0" w:space="0" w:color="auto"/>
        <w:right w:val="none" w:sz="0" w:space="0" w:color="auto"/>
      </w:divBdr>
    </w:div>
    <w:div w:id="1501849672">
      <w:bodyDiv w:val="1"/>
      <w:marLeft w:val="0"/>
      <w:marRight w:val="0"/>
      <w:marTop w:val="0"/>
      <w:marBottom w:val="0"/>
      <w:divBdr>
        <w:top w:val="none" w:sz="0" w:space="0" w:color="auto"/>
        <w:left w:val="none" w:sz="0" w:space="0" w:color="auto"/>
        <w:bottom w:val="none" w:sz="0" w:space="0" w:color="auto"/>
        <w:right w:val="none" w:sz="0" w:space="0" w:color="auto"/>
      </w:divBdr>
    </w:div>
    <w:div w:id="1522552568">
      <w:bodyDiv w:val="1"/>
      <w:marLeft w:val="0"/>
      <w:marRight w:val="0"/>
      <w:marTop w:val="0"/>
      <w:marBottom w:val="0"/>
      <w:divBdr>
        <w:top w:val="none" w:sz="0" w:space="0" w:color="auto"/>
        <w:left w:val="none" w:sz="0" w:space="0" w:color="auto"/>
        <w:bottom w:val="none" w:sz="0" w:space="0" w:color="auto"/>
        <w:right w:val="none" w:sz="0" w:space="0" w:color="auto"/>
      </w:divBdr>
    </w:div>
    <w:div w:id="1541747735">
      <w:bodyDiv w:val="1"/>
      <w:marLeft w:val="0"/>
      <w:marRight w:val="0"/>
      <w:marTop w:val="0"/>
      <w:marBottom w:val="0"/>
      <w:divBdr>
        <w:top w:val="none" w:sz="0" w:space="0" w:color="auto"/>
        <w:left w:val="none" w:sz="0" w:space="0" w:color="auto"/>
        <w:bottom w:val="none" w:sz="0" w:space="0" w:color="auto"/>
        <w:right w:val="none" w:sz="0" w:space="0" w:color="auto"/>
      </w:divBdr>
    </w:div>
    <w:div w:id="1543203466">
      <w:bodyDiv w:val="1"/>
      <w:marLeft w:val="0"/>
      <w:marRight w:val="0"/>
      <w:marTop w:val="0"/>
      <w:marBottom w:val="0"/>
      <w:divBdr>
        <w:top w:val="none" w:sz="0" w:space="0" w:color="auto"/>
        <w:left w:val="none" w:sz="0" w:space="0" w:color="auto"/>
        <w:bottom w:val="none" w:sz="0" w:space="0" w:color="auto"/>
        <w:right w:val="none" w:sz="0" w:space="0" w:color="auto"/>
      </w:divBdr>
    </w:div>
    <w:div w:id="1549679517">
      <w:bodyDiv w:val="1"/>
      <w:marLeft w:val="0"/>
      <w:marRight w:val="0"/>
      <w:marTop w:val="0"/>
      <w:marBottom w:val="0"/>
      <w:divBdr>
        <w:top w:val="none" w:sz="0" w:space="0" w:color="auto"/>
        <w:left w:val="none" w:sz="0" w:space="0" w:color="auto"/>
        <w:bottom w:val="none" w:sz="0" w:space="0" w:color="auto"/>
        <w:right w:val="none" w:sz="0" w:space="0" w:color="auto"/>
      </w:divBdr>
    </w:div>
    <w:div w:id="1551073175">
      <w:bodyDiv w:val="1"/>
      <w:marLeft w:val="0"/>
      <w:marRight w:val="0"/>
      <w:marTop w:val="0"/>
      <w:marBottom w:val="0"/>
      <w:divBdr>
        <w:top w:val="none" w:sz="0" w:space="0" w:color="auto"/>
        <w:left w:val="none" w:sz="0" w:space="0" w:color="auto"/>
        <w:bottom w:val="none" w:sz="0" w:space="0" w:color="auto"/>
        <w:right w:val="none" w:sz="0" w:space="0" w:color="auto"/>
      </w:divBdr>
    </w:div>
    <w:div w:id="1553929153">
      <w:bodyDiv w:val="1"/>
      <w:marLeft w:val="0"/>
      <w:marRight w:val="0"/>
      <w:marTop w:val="0"/>
      <w:marBottom w:val="0"/>
      <w:divBdr>
        <w:top w:val="none" w:sz="0" w:space="0" w:color="auto"/>
        <w:left w:val="none" w:sz="0" w:space="0" w:color="auto"/>
        <w:bottom w:val="none" w:sz="0" w:space="0" w:color="auto"/>
        <w:right w:val="none" w:sz="0" w:space="0" w:color="auto"/>
      </w:divBdr>
    </w:div>
    <w:div w:id="1564875385">
      <w:bodyDiv w:val="1"/>
      <w:marLeft w:val="0"/>
      <w:marRight w:val="0"/>
      <w:marTop w:val="0"/>
      <w:marBottom w:val="0"/>
      <w:divBdr>
        <w:top w:val="none" w:sz="0" w:space="0" w:color="auto"/>
        <w:left w:val="none" w:sz="0" w:space="0" w:color="auto"/>
        <w:bottom w:val="none" w:sz="0" w:space="0" w:color="auto"/>
        <w:right w:val="none" w:sz="0" w:space="0" w:color="auto"/>
      </w:divBdr>
    </w:div>
    <w:div w:id="1587609879">
      <w:bodyDiv w:val="1"/>
      <w:marLeft w:val="0"/>
      <w:marRight w:val="0"/>
      <w:marTop w:val="0"/>
      <w:marBottom w:val="0"/>
      <w:divBdr>
        <w:top w:val="none" w:sz="0" w:space="0" w:color="auto"/>
        <w:left w:val="none" w:sz="0" w:space="0" w:color="auto"/>
        <w:bottom w:val="none" w:sz="0" w:space="0" w:color="auto"/>
        <w:right w:val="none" w:sz="0" w:space="0" w:color="auto"/>
      </w:divBdr>
    </w:div>
    <w:div w:id="1605768995">
      <w:bodyDiv w:val="1"/>
      <w:marLeft w:val="0"/>
      <w:marRight w:val="0"/>
      <w:marTop w:val="0"/>
      <w:marBottom w:val="0"/>
      <w:divBdr>
        <w:top w:val="none" w:sz="0" w:space="0" w:color="auto"/>
        <w:left w:val="none" w:sz="0" w:space="0" w:color="auto"/>
        <w:bottom w:val="none" w:sz="0" w:space="0" w:color="auto"/>
        <w:right w:val="none" w:sz="0" w:space="0" w:color="auto"/>
      </w:divBdr>
    </w:div>
    <w:div w:id="1612594225">
      <w:bodyDiv w:val="1"/>
      <w:marLeft w:val="0"/>
      <w:marRight w:val="0"/>
      <w:marTop w:val="0"/>
      <w:marBottom w:val="0"/>
      <w:divBdr>
        <w:top w:val="none" w:sz="0" w:space="0" w:color="auto"/>
        <w:left w:val="none" w:sz="0" w:space="0" w:color="auto"/>
        <w:bottom w:val="none" w:sz="0" w:space="0" w:color="auto"/>
        <w:right w:val="none" w:sz="0" w:space="0" w:color="auto"/>
      </w:divBdr>
    </w:div>
    <w:div w:id="1613711086">
      <w:bodyDiv w:val="1"/>
      <w:marLeft w:val="0"/>
      <w:marRight w:val="0"/>
      <w:marTop w:val="0"/>
      <w:marBottom w:val="0"/>
      <w:divBdr>
        <w:top w:val="none" w:sz="0" w:space="0" w:color="auto"/>
        <w:left w:val="none" w:sz="0" w:space="0" w:color="auto"/>
        <w:bottom w:val="none" w:sz="0" w:space="0" w:color="auto"/>
        <w:right w:val="none" w:sz="0" w:space="0" w:color="auto"/>
      </w:divBdr>
    </w:div>
    <w:div w:id="1626503830">
      <w:bodyDiv w:val="1"/>
      <w:marLeft w:val="0"/>
      <w:marRight w:val="0"/>
      <w:marTop w:val="0"/>
      <w:marBottom w:val="0"/>
      <w:divBdr>
        <w:top w:val="none" w:sz="0" w:space="0" w:color="auto"/>
        <w:left w:val="none" w:sz="0" w:space="0" w:color="auto"/>
        <w:bottom w:val="none" w:sz="0" w:space="0" w:color="auto"/>
        <w:right w:val="none" w:sz="0" w:space="0" w:color="auto"/>
      </w:divBdr>
    </w:div>
    <w:div w:id="1643347091">
      <w:bodyDiv w:val="1"/>
      <w:marLeft w:val="0"/>
      <w:marRight w:val="0"/>
      <w:marTop w:val="0"/>
      <w:marBottom w:val="0"/>
      <w:divBdr>
        <w:top w:val="none" w:sz="0" w:space="0" w:color="auto"/>
        <w:left w:val="none" w:sz="0" w:space="0" w:color="auto"/>
        <w:bottom w:val="none" w:sz="0" w:space="0" w:color="auto"/>
        <w:right w:val="none" w:sz="0" w:space="0" w:color="auto"/>
      </w:divBdr>
    </w:div>
    <w:div w:id="1644238411">
      <w:bodyDiv w:val="1"/>
      <w:marLeft w:val="0"/>
      <w:marRight w:val="0"/>
      <w:marTop w:val="0"/>
      <w:marBottom w:val="0"/>
      <w:divBdr>
        <w:top w:val="none" w:sz="0" w:space="0" w:color="auto"/>
        <w:left w:val="none" w:sz="0" w:space="0" w:color="auto"/>
        <w:bottom w:val="none" w:sz="0" w:space="0" w:color="auto"/>
        <w:right w:val="none" w:sz="0" w:space="0" w:color="auto"/>
      </w:divBdr>
    </w:div>
    <w:div w:id="1645500453">
      <w:bodyDiv w:val="1"/>
      <w:marLeft w:val="0"/>
      <w:marRight w:val="0"/>
      <w:marTop w:val="0"/>
      <w:marBottom w:val="0"/>
      <w:divBdr>
        <w:top w:val="none" w:sz="0" w:space="0" w:color="auto"/>
        <w:left w:val="none" w:sz="0" w:space="0" w:color="auto"/>
        <w:bottom w:val="none" w:sz="0" w:space="0" w:color="auto"/>
        <w:right w:val="none" w:sz="0" w:space="0" w:color="auto"/>
      </w:divBdr>
      <w:divsChild>
        <w:div w:id="128283949">
          <w:marLeft w:val="0"/>
          <w:marRight w:val="0"/>
          <w:marTop w:val="0"/>
          <w:marBottom w:val="0"/>
          <w:divBdr>
            <w:top w:val="none" w:sz="0" w:space="0" w:color="auto"/>
            <w:left w:val="none" w:sz="0" w:space="0" w:color="auto"/>
            <w:bottom w:val="none" w:sz="0" w:space="0" w:color="auto"/>
            <w:right w:val="none" w:sz="0" w:space="0" w:color="auto"/>
          </w:divBdr>
        </w:div>
        <w:div w:id="1544058627">
          <w:marLeft w:val="0"/>
          <w:marRight w:val="0"/>
          <w:marTop w:val="0"/>
          <w:marBottom w:val="0"/>
          <w:divBdr>
            <w:top w:val="none" w:sz="0" w:space="0" w:color="auto"/>
            <w:left w:val="none" w:sz="0" w:space="0" w:color="auto"/>
            <w:bottom w:val="none" w:sz="0" w:space="0" w:color="auto"/>
            <w:right w:val="none" w:sz="0" w:space="0" w:color="auto"/>
          </w:divBdr>
        </w:div>
      </w:divsChild>
    </w:div>
    <w:div w:id="1647969538">
      <w:bodyDiv w:val="1"/>
      <w:marLeft w:val="0"/>
      <w:marRight w:val="0"/>
      <w:marTop w:val="0"/>
      <w:marBottom w:val="0"/>
      <w:divBdr>
        <w:top w:val="none" w:sz="0" w:space="0" w:color="auto"/>
        <w:left w:val="none" w:sz="0" w:space="0" w:color="auto"/>
        <w:bottom w:val="none" w:sz="0" w:space="0" w:color="auto"/>
        <w:right w:val="none" w:sz="0" w:space="0" w:color="auto"/>
      </w:divBdr>
    </w:div>
    <w:div w:id="1657882378">
      <w:bodyDiv w:val="1"/>
      <w:marLeft w:val="0"/>
      <w:marRight w:val="0"/>
      <w:marTop w:val="0"/>
      <w:marBottom w:val="0"/>
      <w:divBdr>
        <w:top w:val="none" w:sz="0" w:space="0" w:color="auto"/>
        <w:left w:val="none" w:sz="0" w:space="0" w:color="auto"/>
        <w:bottom w:val="none" w:sz="0" w:space="0" w:color="auto"/>
        <w:right w:val="none" w:sz="0" w:space="0" w:color="auto"/>
      </w:divBdr>
      <w:divsChild>
        <w:div w:id="365760098">
          <w:marLeft w:val="0"/>
          <w:marRight w:val="0"/>
          <w:marTop w:val="15"/>
          <w:marBottom w:val="0"/>
          <w:divBdr>
            <w:top w:val="single" w:sz="48" w:space="0" w:color="auto"/>
            <w:left w:val="single" w:sz="48" w:space="0" w:color="auto"/>
            <w:bottom w:val="single" w:sz="48" w:space="0" w:color="auto"/>
            <w:right w:val="single" w:sz="48" w:space="0" w:color="auto"/>
          </w:divBdr>
          <w:divsChild>
            <w:div w:id="141678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192062">
      <w:bodyDiv w:val="1"/>
      <w:marLeft w:val="0"/>
      <w:marRight w:val="0"/>
      <w:marTop w:val="0"/>
      <w:marBottom w:val="0"/>
      <w:divBdr>
        <w:top w:val="none" w:sz="0" w:space="0" w:color="auto"/>
        <w:left w:val="none" w:sz="0" w:space="0" w:color="auto"/>
        <w:bottom w:val="none" w:sz="0" w:space="0" w:color="auto"/>
        <w:right w:val="none" w:sz="0" w:space="0" w:color="auto"/>
      </w:divBdr>
    </w:div>
    <w:div w:id="1678461471">
      <w:bodyDiv w:val="1"/>
      <w:marLeft w:val="0"/>
      <w:marRight w:val="0"/>
      <w:marTop w:val="0"/>
      <w:marBottom w:val="0"/>
      <w:divBdr>
        <w:top w:val="none" w:sz="0" w:space="0" w:color="auto"/>
        <w:left w:val="none" w:sz="0" w:space="0" w:color="auto"/>
        <w:bottom w:val="none" w:sz="0" w:space="0" w:color="auto"/>
        <w:right w:val="none" w:sz="0" w:space="0" w:color="auto"/>
      </w:divBdr>
    </w:div>
    <w:div w:id="1719236574">
      <w:bodyDiv w:val="1"/>
      <w:marLeft w:val="0"/>
      <w:marRight w:val="0"/>
      <w:marTop w:val="0"/>
      <w:marBottom w:val="0"/>
      <w:divBdr>
        <w:top w:val="none" w:sz="0" w:space="0" w:color="auto"/>
        <w:left w:val="none" w:sz="0" w:space="0" w:color="auto"/>
        <w:bottom w:val="none" w:sz="0" w:space="0" w:color="auto"/>
        <w:right w:val="none" w:sz="0" w:space="0" w:color="auto"/>
      </w:divBdr>
    </w:div>
    <w:div w:id="1721441694">
      <w:bodyDiv w:val="1"/>
      <w:marLeft w:val="0"/>
      <w:marRight w:val="0"/>
      <w:marTop w:val="0"/>
      <w:marBottom w:val="0"/>
      <w:divBdr>
        <w:top w:val="none" w:sz="0" w:space="0" w:color="auto"/>
        <w:left w:val="none" w:sz="0" w:space="0" w:color="auto"/>
        <w:bottom w:val="none" w:sz="0" w:space="0" w:color="auto"/>
        <w:right w:val="none" w:sz="0" w:space="0" w:color="auto"/>
      </w:divBdr>
    </w:div>
    <w:div w:id="1725987660">
      <w:bodyDiv w:val="1"/>
      <w:marLeft w:val="0"/>
      <w:marRight w:val="0"/>
      <w:marTop w:val="0"/>
      <w:marBottom w:val="0"/>
      <w:divBdr>
        <w:top w:val="none" w:sz="0" w:space="0" w:color="auto"/>
        <w:left w:val="none" w:sz="0" w:space="0" w:color="auto"/>
        <w:bottom w:val="none" w:sz="0" w:space="0" w:color="auto"/>
        <w:right w:val="none" w:sz="0" w:space="0" w:color="auto"/>
      </w:divBdr>
    </w:div>
    <w:div w:id="1728139595">
      <w:bodyDiv w:val="1"/>
      <w:marLeft w:val="0"/>
      <w:marRight w:val="0"/>
      <w:marTop w:val="0"/>
      <w:marBottom w:val="0"/>
      <w:divBdr>
        <w:top w:val="none" w:sz="0" w:space="0" w:color="auto"/>
        <w:left w:val="none" w:sz="0" w:space="0" w:color="auto"/>
        <w:bottom w:val="none" w:sz="0" w:space="0" w:color="auto"/>
        <w:right w:val="none" w:sz="0" w:space="0" w:color="auto"/>
      </w:divBdr>
    </w:div>
    <w:div w:id="1741125726">
      <w:bodyDiv w:val="1"/>
      <w:marLeft w:val="0"/>
      <w:marRight w:val="0"/>
      <w:marTop w:val="0"/>
      <w:marBottom w:val="0"/>
      <w:divBdr>
        <w:top w:val="none" w:sz="0" w:space="0" w:color="auto"/>
        <w:left w:val="none" w:sz="0" w:space="0" w:color="auto"/>
        <w:bottom w:val="none" w:sz="0" w:space="0" w:color="auto"/>
        <w:right w:val="none" w:sz="0" w:space="0" w:color="auto"/>
      </w:divBdr>
    </w:div>
    <w:div w:id="1744183530">
      <w:bodyDiv w:val="1"/>
      <w:marLeft w:val="0"/>
      <w:marRight w:val="0"/>
      <w:marTop w:val="0"/>
      <w:marBottom w:val="0"/>
      <w:divBdr>
        <w:top w:val="none" w:sz="0" w:space="0" w:color="auto"/>
        <w:left w:val="none" w:sz="0" w:space="0" w:color="auto"/>
        <w:bottom w:val="none" w:sz="0" w:space="0" w:color="auto"/>
        <w:right w:val="none" w:sz="0" w:space="0" w:color="auto"/>
      </w:divBdr>
    </w:div>
    <w:div w:id="1748724265">
      <w:bodyDiv w:val="1"/>
      <w:marLeft w:val="0"/>
      <w:marRight w:val="0"/>
      <w:marTop w:val="0"/>
      <w:marBottom w:val="0"/>
      <w:divBdr>
        <w:top w:val="none" w:sz="0" w:space="0" w:color="auto"/>
        <w:left w:val="none" w:sz="0" w:space="0" w:color="auto"/>
        <w:bottom w:val="none" w:sz="0" w:space="0" w:color="auto"/>
        <w:right w:val="none" w:sz="0" w:space="0" w:color="auto"/>
      </w:divBdr>
    </w:div>
    <w:div w:id="1751537982">
      <w:bodyDiv w:val="1"/>
      <w:marLeft w:val="0"/>
      <w:marRight w:val="0"/>
      <w:marTop w:val="0"/>
      <w:marBottom w:val="0"/>
      <w:divBdr>
        <w:top w:val="none" w:sz="0" w:space="0" w:color="auto"/>
        <w:left w:val="none" w:sz="0" w:space="0" w:color="auto"/>
        <w:bottom w:val="none" w:sz="0" w:space="0" w:color="auto"/>
        <w:right w:val="none" w:sz="0" w:space="0" w:color="auto"/>
      </w:divBdr>
    </w:div>
    <w:div w:id="1771663510">
      <w:bodyDiv w:val="1"/>
      <w:marLeft w:val="0"/>
      <w:marRight w:val="0"/>
      <w:marTop w:val="0"/>
      <w:marBottom w:val="0"/>
      <w:divBdr>
        <w:top w:val="none" w:sz="0" w:space="0" w:color="auto"/>
        <w:left w:val="none" w:sz="0" w:space="0" w:color="auto"/>
        <w:bottom w:val="none" w:sz="0" w:space="0" w:color="auto"/>
        <w:right w:val="none" w:sz="0" w:space="0" w:color="auto"/>
      </w:divBdr>
    </w:div>
    <w:div w:id="1773428369">
      <w:bodyDiv w:val="1"/>
      <w:marLeft w:val="0"/>
      <w:marRight w:val="0"/>
      <w:marTop w:val="0"/>
      <w:marBottom w:val="0"/>
      <w:divBdr>
        <w:top w:val="none" w:sz="0" w:space="0" w:color="auto"/>
        <w:left w:val="none" w:sz="0" w:space="0" w:color="auto"/>
        <w:bottom w:val="none" w:sz="0" w:space="0" w:color="auto"/>
        <w:right w:val="none" w:sz="0" w:space="0" w:color="auto"/>
      </w:divBdr>
    </w:div>
    <w:div w:id="1780562941">
      <w:bodyDiv w:val="1"/>
      <w:marLeft w:val="0"/>
      <w:marRight w:val="0"/>
      <w:marTop w:val="0"/>
      <w:marBottom w:val="0"/>
      <w:divBdr>
        <w:top w:val="none" w:sz="0" w:space="0" w:color="auto"/>
        <w:left w:val="none" w:sz="0" w:space="0" w:color="auto"/>
        <w:bottom w:val="none" w:sz="0" w:space="0" w:color="auto"/>
        <w:right w:val="none" w:sz="0" w:space="0" w:color="auto"/>
      </w:divBdr>
    </w:div>
    <w:div w:id="1784182821">
      <w:bodyDiv w:val="1"/>
      <w:marLeft w:val="0"/>
      <w:marRight w:val="0"/>
      <w:marTop w:val="0"/>
      <w:marBottom w:val="0"/>
      <w:divBdr>
        <w:top w:val="none" w:sz="0" w:space="0" w:color="auto"/>
        <w:left w:val="none" w:sz="0" w:space="0" w:color="auto"/>
        <w:bottom w:val="none" w:sz="0" w:space="0" w:color="auto"/>
        <w:right w:val="none" w:sz="0" w:space="0" w:color="auto"/>
      </w:divBdr>
    </w:div>
    <w:div w:id="1784495894">
      <w:bodyDiv w:val="1"/>
      <w:marLeft w:val="0"/>
      <w:marRight w:val="0"/>
      <w:marTop w:val="0"/>
      <w:marBottom w:val="0"/>
      <w:divBdr>
        <w:top w:val="none" w:sz="0" w:space="0" w:color="auto"/>
        <w:left w:val="none" w:sz="0" w:space="0" w:color="auto"/>
        <w:bottom w:val="none" w:sz="0" w:space="0" w:color="auto"/>
        <w:right w:val="none" w:sz="0" w:space="0" w:color="auto"/>
      </w:divBdr>
    </w:div>
    <w:div w:id="1791391759">
      <w:bodyDiv w:val="1"/>
      <w:marLeft w:val="0"/>
      <w:marRight w:val="0"/>
      <w:marTop w:val="0"/>
      <w:marBottom w:val="0"/>
      <w:divBdr>
        <w:top w:val="none" w:sz="0" w:space="0" w:color="auto"/>
        <w:left w:val="none" w:sz="0" w:space="0" w:color="auto"/>
        <w:bottom w:val="none" w:sz="0" w:space="0" w:color="auto"/>
        <w:right w:val="none" w:sz="0" w:space="0" w:color="auto"/>
      </w:divBdr>
    </w:div>
    <w:div w:id="1793666312">
      <w:bodyDiv w:val="1"/>
      <w:marLeft w:val="0"/>
      <w:marRight w:val="0"/>
      <w:marTop w:val="0"/>
      <w:marBottom w:val="0"/>
      <w:divBdr>
        <w:top w:val="none" w:sz="0" w:space="0" w:color="auto"/>
        <w:left w:val="none" w:sz="0" w:space="0" w:color="auto"/>
        <w:bottom w:val="none" w:sz="0" w:space="0" w:color="auto"/>
        <w:right w:val="none" w:sz="0" w:space="0" w:color="auto"/>
      </w:divBdr>
    </w:div>
    <w:div w:id="1829977333">
      <w:bodyDiv w:val="1"/>
      <w:marLeft w:val="0"/>
      <w:marRight w:val="0"/>
      <w:marTop w:val="0"/>
      <w:marBottom w:val="0"/>
      <w:divBdr>
        <w:top w:val="none" w:sz="0" w:space="0" w:color="auto"/>
        <w:left w:val="none" w:sz="0" w:space="0" w:color="auto"/>
        <w:bottom w:val="none" w:sz="0" w:space="0" w:color="auto"/>
        <w:right w:val="none" w:sz="0" w:space="0" w:color="auto"/>
      </w:divBdr>
    </w:div>
    <w:div w:id="1830438216">
      <w:bodyDiv w:val="1"/>
      <w:marLeft w:val="0"/>
      <w:marRight w:val="0"/>
      <w:marTop w:val="0"/>
      <w:marBottom w:val="0"/>
      <w:divBdr>
        <w:top w:val="none" w:sz="0" w:space="0" w:color="auto"/>
        <w:left w:val="none" w:sz="0" w:space="0" w:color="auto"/>
        <w:bottom w:val="none" w:sz="0" w:space="0" w:color="auto"/>
        <w:right w:val="none" w:sz="0" w:space="0" w:color="auto"/>
      </w:divBdr>
    </w:div>
    <w:div w:id="1833176017">
      <w:bodyDiv w:val="1"/>
      <w:marLeft w:val="0"/>
      <w:marRight w:val="0"/>
      <w:marTop w:val="0"/>
      <w:marBottom w:val="0"/>
      <w:divBdr>
        <w:top w:val="none" w:sz="0" w:space="0" w:color="auto"/>
        <w:left w:val="none" w:sz="0" w:space="0" w:color="auto"/>
        <w:bottom w:val="none" w:sz="0" w:space="0" w:color="auto"/>
        <w:right w:val="none" w:sz="0" w:space="0" w:color="auto"/>
      </w:divBdr>
    </w:div>
    <w:div w:id="1839496443">
      <w:bodyDiv w:val="1"/>
      <w:marLeft w:val="0"/>
      <w:marRight w:val="0"/>
      <w:marTop w:val="0"/>
      <w:marBottom w:val="0"/>
      <w:divBdr>
        <w:top w:val="none" w:sz="0" w:space="0" w:color="auto"/>
        <w:left w:val="none" w:sz="0" w:space="0" w:color="auto"/>
        <w:bottom w:val="none" w:sz="0" w:space="0" w:color="auto"/>
        <w:right w:val="none" w:sz="0" w:space="0" w:color="auto"/>
      </w:divBdr>
    </w:div>
    <w:div w:id="1843008654">
      <w:bodyDiv w:val="1"/>
      <w:marLeft w:val="0"/>
      <w:marRight w:val="0"/>
      <w:marTop w:val="0"/>
      <w:marBottom w:val="0"/>
      <w:divBdr>
        <w:top w:val="none" w:sz="0" w:space="0" w:color="auto"/>
        <w:left w:val="none" w:sz="0" w:space="0" w:color="auto"/>
        <w:bottom w:val="none" w:sz="0" w:space="0" w:color="auto"/>
        <w:right w:val="none" w:sz="0" w:space="0" w:color="auto"/>
      </w:divBdr>
    </w:div>
    <w:div w:id="1843158134">
      <w:bodyDiv w:val="1"/>
      <w:marLeft w:val="0"/>
      <w:marRight w:val="0"/>
      <w:marTop w:val="0"/>
      <w:marBottom w:val="0"/>
      <w:divBdr>
        <w:top w:val="none" w:sz="0" w:space="0" w:color="auto"/>
        <w:left w:val="none" w:sz="0" w:space="0" w:color="auto"/>
        <w:bottom w:val="none" w:sz="0" w:space="0" w:color="auto"/>
        <w:right w:val="none" w:sz="0" w:space="0" w:color="auto"/>
      </w:divBdr>
    </w:div>
    <w:div w:id="1846289200">
      <w:bodyDiv w:val="1"/>
      <w:marLeft w:val="0"/>
      <w:marRight w:val="0"/>
      <w:marTop w:val="0"/>
      <w:marBottom w:val="0"/>
      <w:divBdr>
        <w:top w:val="none" w:sz="0" w:space="0" w:color="auto"/>
        <w:left w:val="none" w:sz="0" w:space="0" w:color="auto"/>
        <w:bottom w:val="none" w:sz="0" w:space="0" w:color="auto"/>
        <w:right w:val="none" w:sz="0" w:space="0" w:color="auto"/>
      </w:divBdr>
    </w:div>
    <w:div w:id="1850480751">
      <w:bodyDiv w:val="1"/>
      <w:marLeft w:val="0"/>
      <w:marRight w:val="0"/>
      <w:marTop w:val="0"/>
      <w:marBottom w:val="0"/>
      <w:divBdr>
        <w:top w:val="none" w:sz="0" w:space="0" w:color="auto"/>
        <w:left w:val="none" w:sz="0" w:space="0" w:color="auto"/>
        <w:bottom w:val="none" w:sz="0" w:space="0" w:color="auto"/>
        <w:right w:val="none" w:sz="0" w:space="0" w:color="auto"/>
      </w:divBdr>
    </w:div>
    <w:div w:id="1857695181">
      <w:bodyDiv w:val="1"/>
      <w:marLeft w:val="0"/>
      <w:marRight w:val="0"/>
      <w:marTop w:val="0"/>
      <w:marBottom w:val="0"/>
      <w:divBdr>
        <w:top w:val="none" w:sz="0" w:space="0" w:color="auto"/>
        <w:left w:val="none" w:sz="0" w:space="0" w:color="auto"/>
        <w:bottom w:val="none" w:sz="0" w:space="0" w:color="auto"/>
        <w:right w:val="none" w:sz="0" w:space="0" w:color="auto"/>
      </w:divBdr>
    </w:div>
    <w:div w:id="1869567605">
      <w:bodyDiv w:val="1"/>
      <w:marLeft w:val="0"/>
      <w:marRight w:val="0"/>
      <w:marTop w:val="0"/>
      <w:marBottom w:val="0"/>
      <w:divBdr>
        <w:top w:val="none" w:sz="0" w:space="0" w:color="auto"/>
        <w:left w:val="none" w:sz="0" w:space="0" w:color="auto"/>
        <w:bottom w:val="none" w:sz="0" w:space="0" w:color="auto"/>
        <w:right w:val="none" w:sz="0" w:space="0" w:color="auto"/>
      </w:divBdr>
    </w:div>
    <w:div w:id="1877884348">
      <w:bodyDiv w:val="1"/>
      <w:marLeft w:val="0"/>
      <w:marRight w:val="0"/>
      <w:marTop w:val="0"/>
      <w:marBottom w:val="0"/>
      <w:divBdr>
        <w:top w:val="none" w:sz="0" w:space="0" w:color="auto"/>
        <w:left w:val="none" w:sz="0" w:space="0" w:color="auto"/>
        <w:bottom w:val="none" w:sz="0" w:space="0" w:color="auto"/>
        <w:right w:val="none" w:sz="0" w:space="0" w:color="auto"/>
      </w:divBdr>
    </w:div>
    <w:div w:id="1883594294">
      <w:bodyDiv w:val="1"/>
      <w:marLeft w:val="0"/>
      <w:marRight w:val="0"/>
      <w:marTop w:val="0"/>
      <w:marBottom w:val="0"/>
      <w:divBdr>
        <w:top w:val="none" w:sz="0" w:space="0" w:color="auto"/>
        <w:left w:val="none" w:sz="0" w:space="0" w:color="auto"/>
        <w:bottom w:val="none" w:sz="0" w:space="0" w:color="auto"/>
        <w:right w:val="none" w:sz="0" w:space="0" w:color="auto"/>
      </w:divBdr>
    </w:div>
    <w:div w:id="1892770909">
      <w:bodyDiv w:val="1"/>
      <w:marLeft w:val="0"/>
      <w:marRight w:val="0"/>
      <w:marTop w:val="0"/>
      <w:marBottom w:val="0"/>
      <w:divBdr>
        <w:top w:val="none" w:sz="0" w:space="0" w:color="auto"/>
        <w:left w:val="none" w:sz="0" w:space="0" w:color="auto"/>
        <w:bottom w:val="none" w:sz="0" w:space="0" w:color="auto"/>
        <w:right w:val="none" w:sz="0" w:space="0" w:color="auto"/>
      </w:divBdr>
    </w:div>
    <w:div w:id="1901865060">
      <w:bodyDiv w:val="1"/>
      <w:marLeft w:val="0"/>
      <w:marRight w:val="0"/>
      <w:marTop w:val="0"/>
      <w:marBottom w:val="0"/>
      <w:divBdr>
        <w:top w:val="none" w:sz="0" w:space="0" w:color="auto"/>
        <w:left w:val="none" w:sz="0" w:space="0" w:color="auto"/>
        <w:bottom w:val="none" w:sz="0" w:space="0" w:color="auto"/>
        <w:right w:val="none" w:sz="0" w:space="0" w:color="auto"/>
      </w:divBdr>
    </w:div>
    <w:div w:id="1905410546">
      <w:bodyDiv w:val="1"/>
      <w:marLeft w:val="0"/>
      <w:marRight w:val="0"/>
      <w:marTop w:val="0"/>
      <w:marBottom w:val="0"/>
      <w:divBdr>
        <w:top w:val="none" w:sz="0" w:space="0" w:color="auto"/>
        <w:left w:val="none" w:sz="0" w:space="0" w:color="auto"/>
        <w:bottom w:val="none" w:sz="0" w:space="0" w:color="auto"/>
        <w:right w:val="none" w:sz="0" w:space="0" w:color="auto"/>
      </w:divBdr>
    </w:div>
    <w:div w:id="1918706290">
      <w:bodyDiv w:val="1"/>
      <w:marLeft w:val="0"/>
      <w:marRight w:val="0"/>
      <w:marTop w:val="0"/>
      <w:marBottom w:val="0"/>
      <w:divBdr>
        <w:top w:val="none" w:sz="0" w:space="0" w:color="auto"/>
        <w:left w:val="none" w:sz="0" w:space="0" w:color="auto"/>
        <w:bottom w:val="none" w:sz="0" w:space="0" w:color="auto"/>
        <w:right w:val="none" w:sz="0" w:space="0" w:color="auto"/>
      </w:divBdr>
      <w:divsChild>
        <w:div w:id="1274434966">
          <w:marLeft w:val="0"/>
          <w:marRight w:val="0"/>
          <w:marTop w:val="0"/>
          <w:marBottom w:val="0"/>
          <w:divBdr>
            <w:top w:val="none" w:sz="0" w:space="0" w:color="auto"/>
            <w:left w:val="none" w:sz="0" w:space="0" w:color="auto"/>
            <w:bottom w:val="none" w:sz="0" w:space="0" w:color="auto"/>
            <w:right w:val="none" w:sz="0" w:space="0" w:color="auto"/>
          </w:divBdr>
          <w:divsChild>
            <w:div w:id="1481772248">
              <w:marLeft w:val="0"/>
              <w:marRight w:val="0"/>
              <w:marTop w:val="0"/>
              <w:marBottom w:val="0"/>
              <w:divBdr>
                <w:top w:val="none" w:sz="0" w:space="0" w:color="auto"/>
                <w:left w:val="none" w:sz="0" w:space="0" w:color="auto"/>
                <w:bottom w:val="none" w:sz="0" w:space="0" w:color="auto"/>
                <w:right w:val="none" w:sz="0" w:space="0" w:color="auto"/>
              </w:divBdr>
              <w:divsChild>
                <w:div w:id="1064139300">
                  <w:marLeft w:val="0"/>
                  <w:marRight w:val="0"/>
                  <w:marTop w:val="0"/>
                  <w:marBottom w:val="0"/>
                  <w:divBdr>
                    <w:top w:val="none" w:sz="0" w:space="0" w:color="auto"/>
                    <w:left w:val="none" w:sz="0" w:space="0" w:color="auto"/>
                    <w:bottom w:val="none" w:sz="0" w:space="0" w:color="auto"/>
                    <w:right w:val="none" w:sz="0" w:space="0" w:color="auto"/>
                  </w:divBdr>
                  <w:divsChild>
                    <w:div w:id="787162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0237135">
      <w:bodyDiv w:val="1"/>
      <w:marLeft w:val="0"/>
      <w:marRight w:val="0"/>
      <w:marTop w:val="0"/>
      <w:marBottom w:val="0"/>
      <w:divBdr>
        <w:top w:val="none" w:sz="0" w:space="0" w:color="auto"/>
        <w:left w:val="none" w:sz="0" w:space="0" w:color="auto"/>
        <w:bottom w:val="none" w:sz="0" w:space="0" w:color="auto"/>
        <w:right w:val="none" w:sz="0" w:space="0" w:color="auto"/>
      </w:divBdr>
    </w:div>
    <w:div w:id="1950356271">
      <w:bodyDiv w:val="1"/>
      <w:marLeft w:val="0"/>
      <w:marRight w:val="0"/>
      <w:marTop w:val="0"/>
      <w:marBottom w:val="0"/>
      <w:divBdr>
        <w:top w:val="none" w:sz="0" w:space="0" w:color="auto"/>
        <w:left w:val="none" w:sz="0" w:space="0" w:color="auto"/>
        <w:bottom w:val="none" w:sz="0" w:space="0" w:color="auto"/>
        <w:right w:val="none" w:sz="0" w:space="0" w:color="auto"/>
      </w:divBdr>
    </w:div>
    <w:div w:id="1956252481">
      <w:bodyDiv w:val="1"/>
      <w:marLeft w:val="0"/>
      <w:marRight w:val="0"/>
      <w:marTop w:val="0"/>
      <w:marBottom w:val="0"/>
      <w:divBdr>
        <w:top w:val="none" w:sz="0" w:space="0" w:color="auto"/>
        <w:left w:val="none" w:sz="0" w:space="0" w:color="auto"/>
        <w:bottom w:val="none" w:sz="0" w:space="0" w:color="auto"/>
        <w:right w:val="none" w:sz="0" w:space="0" w:color="auto"/>
      </w:divBdr>
    </w:div>
    <w:div w:id="1959214957">
      <w:bodyDiv w:val="1"/>
      <w:marLeft w:val="0"/>
      <w:marRight w:val="0"/>
      <w:marTop w:val="0"/>
      <w:marBottom w:val="0"/>
      <w:divBdr>
        <w:top w:val="none" w:sz="0" w:space="0" w:color="auto"/>
        <w:left w:val="none" w:sz="0" w:space="0" w:color="auto"/>
        <w:bottom w:val="none" w:sz="0" w:space="0" w:color="auto"/>
        <w:right w:val="none" w:sz="0" w:space="0" w:color="auto"/>
      </w:divBdr>
    </w:div>
    <w:div w:id="1960723285">
      <w:bodyDiv w:val="1"/>
      <w:marLeft w:val="0"/>
      <w:marRight w:val="0"/>
      <w:marTop w:val="0"/>
      <w:marBottom w:val="0"/>
      <w:divBdr>
        <w:top w:val="none" w:sz="0" w:space="0" w:color="auto"/>
        <w:left w:val="none" w:sz="0" w:space="0" w:color="auto"/>
        <w:bottom w:val="none" w:sz="0" w:space="0" w:color="auto"/>
        <w:right w:val="none" w:sz="0" w:space="0" w:color="auto"/>
      </w:divBdr>
    </w:div>
    <w:div w:id="1960800376">
      <w:bodyDiv w:val="1"/>
      <w:marLeft w:val="0"/>
      <w:marRight w:val="0"/>
      <w:marTop w:val="0"/>
      <w:marBottom w:val="0"/>
      <w:divBdr>
        <w:top w:val="none" w:sz="0" w:space="0" w:color="auto"/>
        <w:left w:val="none" w:sz="0" w:space="0" w:color="auto"/>
        <w:bottom w:val="none" w:sz="0" w:space="0" w:color="auto"/>
        <w:right w:val="none" w:sz="0" w:space="0" w:color="auto"/>
      </w:divBdr>
    </w:div>
    <w:div w:id="1965229603">
      <w:bodyDiv w:val="1"/>
      <w:marLeft w:val="0"/>
      <w:marRight w:val="0"/>
      <w:marTop w:val="0"/>
      <w:marBottom w:val="0"/>
      <w:divBdr>
        <w:top w:val="none" w:sz="0" w:space="0" w:color="auto"/>
        <w:left w:val="none" w:sz="0" w:space="0" w:color="auto"/>
        <w:bottom w:val="none" w:sz="0" w:space="0" w:color="auto"/>
        <w:right w:val="none" w:sz="0" w:space="0" w:color="auto"/>
      </w:divBdr>
    </w:div>
    <w:div w:id="1966228659">
      <w:bodyDiv w:val="1"/>
      <w:marLeft w:val="0"/>
      <w:marRight w:val="0"/>
      <w:marTop w:val="0"/>
      <w:marBottom w:val="0"/>
      <w:divBdr>
        <w:top w:val="none" w:sz="0" w:space="0" w:color="auto"/>
        <w:left w:val="none" w:sz="0" w:space="0" w:color="auto"/>
        <w:bottom w:val="none" w:sz="0" w:space="0" w:color="auto"/>
        <w:right w:val="none" w:sz="0" w:space="0" w:color="auto"/>
      </w:divBdr>
    </w:div>
    <w:div w:id="1974359276">
      <w:bodyDiv w:val="1"/>
      <w:marLeft w:val="0"/>
      <w:marRight w:val="0"/>
      <w:marTop w:val="0"/>
      <w:marBottom w:val="0"/>
      <w:divBdr>
        <w:top w:val="none" w:sz="0" w:space="0" w:color="auto"/>
        <w:left w:val="none" w:sz="0" w:space="0" w:color="auto"/>
        <w:bottom w:val="none" w:sz="0" w:space="0" w:color="auto"/>
        <w:right w:val="none" w:sz="0" w:space="0" w:color="auto"/>
      </w:divBdr>
    </w:div>
    <w:div w:id="1977025710">
      <w:bodyDiv w:val="1"/>
      <w:marLeft w:val="0"/>
      <w:marRight w:val="0"/>
      <w:marTop w:val="0"/>
      <w:marBottom w:val="0"/>
      <w:divBdr>
        <w:top w:val="none" w:sz="0" w:space="0" w:color="auto"/>
        <w:left w:val="none" w:sz="0" w:space="0" w:color="auto"/>
        <w:bottom w:val="none" w:sz="0" w:space="0" w:color="auto"/>
        <w:right w:val="none" w:sz="0" w:space="0" w:color="auto"/>
      </w:divBdr>
    </w:div>
    <w:div w:id="1978797948">
      <w:bodyDiv w:val="1"/>
      <w:marLeft w:val="0"/>
      <w:marRight w:val="0"/>
      <w:marTop w:val="0"/>
      <w:marBottom w:val="0"/>
      <w:divBdr>
        <w:top w:val="none" w:sz="0" w:space="0" w:color="auto"/>
        <w:left w:val="none" w:sz="0" w:space="0" w:color="auto"/>
        <w:bottom w:val="none" w:sz="0" w:space="0" w:color="auto"/>
        <w:right w:val="none" w:sz="0" w:space="0" w:color="auto"/>
      </w:divBdr>
    </w:div>
    <w:div w:id="1982804177">
      <w:bodyDiv w:val="1"/>
      <w:marLeft w:val="0"/>
      <w:marRight w:val="0"/>
      <w:marTop w:val="0"/>
      <w:marBottom w:val="0"/>
      <w:divBdr>
        <w:top w:val="none" w:sz="0" w:space="0" w:color="auto"/>
        <w:left w:val="none" w:sz="0" w:space="0" w:color="auto"/>
        <w:bottom w:val="none" w:sz="0" w:space="0" w:color="auto"/>
        <w:right w:val="none" w:sz="0" w:space="0" w:color="auto"/>
      </w:divBdr>
    </w:div>
    <w:div w:id="1988703524">
      <w:bodyDiv w:val="1"/>
      <w:marLeft w:val="0"/>
      <w:marRight w:val="0"/>
      <w:marTop w:val="0"/>
      <w:marBottom w:val="0"/>
      <w:divBdr>
        <w:top w:val="none" w:sz="0" w:space="0" w:color="auto"/>
        <w:left w:val="none" w:sz="0" w:space="0" w:color="auto"/>
        <w:bottom w:val="none" w:sz="0" w:space="0" w:color="auto"/>
        <w:right w:val="none" w:sz="0" w:space="0" w:color="auto"/>
      </w:divBdr>
    </w:div>
    <w:div w:id="1990092742">
      <w:bodyDiv w:val="1"/>
      <w:marLeft w:val="0"/>
      <w:marRight w:val="0"/>
      <w:marTop w:val="0"/>
      <w:marBottom w:val="0"/>
      <w:divBdr>
        <w:top w:val="none" w:sz="0" w:space="0" w:color="auto"/>
        <w:left w:val="none" w:sz="0" w:space="0" w:color="auto"/>
        <w:bottom w:val="none" w:sz="0" w:space="0" w:color="auto"/>
        <w:right w:val="none" w:sz="0" w:space="0" w:color="auto"/>
      </w:divBdr>
      <w:divsChild>
        <w:div w:id="1160388847">
          <w:marLeft w:val="0"/>
          <w:marRight w:val="0"/>
          <w:marTop w:val="0"/>
          <w:marBottom w:val="0"/>
          <w:divBdr>
            <w:top w:val="none" w:sz="0" w:space="0" w:color="auto"/>
            <w:left w:val="none" w:sz="0" w:space="0" w:color="auto"/>
            <w:bottom w:val="none" w:sz="0" w:space="0" w:color="auto"/>
            <w:right w:val="none" w:sz="0" w:space="0" w:color="auto"/>
          </w:divBdr>
          <w:divsChild>
            <w:div w:id="1411318466">
              <w:marLeft w:val="0"/>
              <w:marRight w:val="0"/>
              <w:marTop w:val="0"/>
              <w:marBottom w:val="0"/>
              <w:divBdr>
                <w:top w:val="none" w:sz="0" w:space="0" w:color="auto"/>
                <w:left w:val="none" w:sz="0" w:space="0" w:color="auto"/>
                <w:bottom w:val="none" w:sz="0" w:space="0" w:color="auto"/>
                <w:right w:val="none" w:sz="0" w:space="0" w:color="auto"/>
              </w:divBdr>
              <w:divsChild>
                <w:div w:id="11542312">
                  <w:marLeft w:val="0"/>
                  <w:marRight w:val="0"/>
                  <w:marTop w:val="0"/>
                  <w:marBottom w:val="0"/>
                  <w:divBdr>
                    <w:top w:val="none" w:sz="0" w:space="0" w:color="auto"/>
                    <w:left w:val="none" w:sz="0" w:space="0" w:color="auto"/>
                    <w:bottom w:val="none" w:sz="0" w:space="0" w:color="auto"/>
                    <w:right w:val="none" w:sz="0" w:space="0" w:color="auto"/>
                  </w:divBdr>
                  <w:divsChild>
                    <w:div w:id="879316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3239738">
      <w:bodyDiv w:val="1"/>
      <w:marLeft w:val="0"/>
      <w:marRight w:val="0"/>
      <w:marTop w:val="0"/>
      <w:marBottom w:val="0"/>
      <w:divBdr>
        <w:top w:val="none" w:sz="0" w:space="0" w:color="auto"/>
        <w:left w:val="none" w:sz="0" w:space="0" w:color="auto"/>
        <w:bottom w:val="none" w:sz="0" w:space="0" w:color="auto"/>
        <w:right w:val="none" w:sz="0" w:space="0" w:color="auto"/>
      </w:divBdr>
    </w:div>
    <w:div w:id="2005738483">
      <w:bodyDiv w:val="1"/>
      <w:marLeft w:val="0"/>
      <w:marRight w:val="0"/>
      <w:marTop w:val="0"/>
      <w:marBottom w:val="0"/>
      <w:divBdr>
        <w:top w:val="none" w:sz="0" w:space="0" w:color="auto"/>
        <w:left w:val="none" w:sz="0" w:space="0" w:color="auto"/>
        <w:bottom w:val="none" w:sz="0" w:space="0" w:color="auto"/>
        <w:right w:val="none" w:sz="0" w:space="0" w:color="auto"/>
      </w:divBdr>
    </w:div>
    <w:div w:id="2009138392">
      <w:bodyDiv w:val="1"/>
      <w:marLeft w:val="0"/>
      <w:marRight w:val="0"/>
      <w:marTop w:val="0"/>
      <w:marBottom w:val="0"/>
      <w:divBdr>
        <w:top w:val="none" w:sz="0" w:space="0" w:color="auto"/>
        <w:left w:val="none" w:sz="0" w:space="0" w:color="auto"/>
        <w:bottom w:val="none" w:sz="0" w:space="0" w:color="auto"/>
        <w:right w:val="none" w:sz="0" w:space="0" w:color="auto"/>
      </w:divBdr>
      <w:divsChild>
        <w:div w:id="148864586">
          <w:marLeft w:val="0"/>
          <w:marRight w:val="0"/>
          <w:marTop w:val="0"/>
          <w:marBottom w:val="0"/>
          <w:divBdr>
            <w:top w:val="none" w:sz="0" w:space="0" w:color="auto"/>
            <w:left w:val="none" w:sz="0" w:space="0" w:color="auto"/>
            <w:bottom w:val="none" w:sz="0" w:space="0" w:color="auto"/>
            <w:right w:val="none" w:sz="0" w:space="0" w:color="auto"/>
          </w:divBdr>
        </w:div>
        <w:div w:id="412044895">
          <w:marLeft w:val="0"/>
          <w:marRight w:val="0"/>
          <w:marTop w:val="0"/>
          <w:marBottom w:val="0"/>
          <w:divBdr>
            <w:top w:val="none" w:sz="0" w:space="0" w:color="auto"/>
            <w:left w:val="none" w:sz="0" w:space="0" w:color="auto"/>
            <w:bottom w:val="none" w:sz="0" w:space="0" w:color="auto"/>
            <w:right w:val="none" w:sz="0" w:space="0" w:color="auto"/>
          </w:divBdr>
        </w:div>
        <w:div w:id="588737240">
          <w:marLeft w:val="0"/>
          <w:marRight w:val="0"/>
          <w:marTop w:val="0"/>
          <w:marBottom w:val="0"/>
          <w:divBdr>
            <w:top w:val="none" w:sz="0" w:space="0" w:color="auto"/>
            <w:left w:val="none" w:sz="0" w:space="0" w:color="auto"/>
            <w:bottom w:val="none" w:sz="0" w:space="0" w:color="auto"/>
            <w:right w:val="none" w:sz="0" w:space="0" w:color="auto"/>
          </w:divBdr>
        </w:div>
        <w:div w:id="2055958526">
          <w:marLeft w:val="0"/>
          <w:marRight w:val="0"/>
          <w:marTop w:val="0"/>
          <w:marBottom w:val="0"/>
          <w:divBdr>
            <w:top w:val="none" w:sz="0" w:space="0" w:color="auto"/>
            <w:left w:val="none" w:sz="0" w:space="0" w:color="auto"/>
            <w:bottom w:val="none" w:sz="0" w:space="0" w:color="auto"/>
            <w:right w:val="none" w:sz="0" w:space="0" w:color="auto"/>
          </w:divBdr>
        </w:div>
      </w:divsChild>
    </w:div>
    <w:div w:id="2020888181">
      <w:bodyDiv w:val="1"/>
      <w:marLeft w:val="0"/>
      <w:marRight w:val="0"/>
      <w:marTop w:val="0"/>
      <w:marBottom w:val="0"/>
      <w:divBdr>
        <w:top w:val="none" w:sz="0" w:space="0" w:color="auto"/>
        <w:left w:val="none" w:sz="0" w:space="0" w:color="auto"/>
        <w:bottom w:val="none" w:sz="0" w:space="0" w:color="auto"/>
        <w:right w:val="none" w:sz="0" w:space="0" w:color="auto"/>
      </w:divBdr>
    </w:div>
    <w:div w:id="2032489637">
      <w:bodyDiv w:val="1"/>
      <w:marLeft w:val="0"/>
      <w:marRight w:val="0"/>
      <w:marTop w:val="0"/>
      <w:marBottom w:val="0"/>
      <w:divBdr>
        <w:top w:val="none" w:sz="0" w:space="0" w:color="auto"/>
        <w:left w:val="none" w:sz="0" w:space="0" w:color="auto"/>
        <w:bottom w:val="none" w:sz="0" w:space="0" w:color="auto"/>
        <w:right w:val="none" w:sz="0" w:space="0" w:color="auto"/>
      </w:divBdr>
    </w:div>
    <w:div w:id="2050641275">
      <w:bodyDiv w:val="1"/>
      <w:marLeft w:val="0"/>
      <w:marRight w:val="0"/>
      <w:marTop w:val="0"/>
      <w:marBottom w:val="0"/>
      <w:divBdr>
        <w:top w:val="none" w:sz="0" w:space="0" w:color="auto"/>
        <w:left w:val="none" w:sz="0" w:space="0" w:color="auto"/>
        <w:bottom w:val="none" w:sz="0" w:space="0" w:color="auto"/>
        <w:right w:val="none" w:sz="0" w:space="0" w:color="auto"/>
      </w:divBdr>
      <w:divsChild>
        <w:div w:id="124349788">
          <w:marLeft w:val="0"/>
          <w:marRight w:val="0"/>
          <w:marTop w:val="0"/>
          <w:marBottom w:val="0"/>
          <w:divBdr>
            <w:top w:val="none" w:sz="0" w:space="0" w:color="auto"/>
            <w:left w:val="none" w:sz="0" w:space="0" w:color="auto"/>
            <w:bottom w:val="none" w:sz="0" w:space="0" w:color="auto"/>
            <w:right w:val="none" w:sz="0" w:space="0" w:color="auto"/>
          </w:divBdr>
        </w:div>
      </w:divsChild>
    </w:div>
    <w:div w:id="2053336716">
      <w:bodyDiv w:val="1"/>
      <w:marLeft w:val="0"/>
      <w:marRight w:val="0"/>
      <w:marTop w:val="0"/>
      <w:marBottom w:val="0"/>
      <w:divBdr>
        <w:top w:val="none" w:sz="0" w:space="0" w:color="auto"/>
        <w:left w:val="none" w:sz="0" w:space="0" w:color="auto"/>
        <w:bottom w:val="none" w:sz="0" w:space="0" w:color="auto"/>
        <w:right w:val="none" w:sz="0" w:space="0" w:color="auto"/>
      </w:divBdr>
    </w:div>
    <w:div w:id="2057968852">
      <w:bodyDiv w:val="1"/>
      <w:marLeft w:val="0"/>
      <w:marRight w:val="0"/>
      <w:marTop w:val="0"/>
      <w:marBottom w:val="0"/>
      <w:divBdr>
        <w:top w:val="none" w:sz="0" w:space="0" w:color="auto"/>
        <w:left w:val="none" w:sz="0" w:space="0" w:color="auto"/>
        <w:bottom w:val="none" w:sz="0" w:space="0" w:color="auto"/>
        <w:right w:val="none" w:sz="0" w:space="0" w:color="auto"/>
      </w:divBdr>
    </w:div>
    <w:div w:id="2064400752">
      <w:bodyDiv w:val="1"/>
      <w:marLeft w:val="0"/>
      <w:marRight w:val="0"/>
      <w:marTop w:val="0"/>
      <w:marBottom w:val="0"/>
      <w:divBdr>
        <w:top w:val="none" w:sz="0" w:space="0" w:color="auto"/>
        <w:left w:val="none" w:sz="0" w:space="0" w:color="auto"/>
        <w:bottom w:val="none" w:sz="0" w:space="0" w:color="auto"/>
        <w:right w:val="none" w:sz="0" w:space="0" w:color="auto"/>
      </w:divBdr>
    </w:div>
    <w:div w:id="2068145960">
      <w:bodyDiv w:val="1"/>
      <w:marLeft w:val="0"/>
      <w:marRight w:val="0"/>
      <w:marTop w:val="0"/>
      <w:marBottom w:val="0"/>
      <w:divBdr>
        <w:top w:val="none" w:sz="0" w:space="0" w:color="auto"/>
        <w:left w:val="none" w:sz="0" w:space="0" w:color="auto"/>
        <w:bottom w:val="none" w:sz="0" w:space="0" w:color="auto"/>
        <w:right w:val="none" w:sz="0" w:space="0" w:color="auto"/>
      </w:divBdr>
    </w:div>
    <w:div w:id="2082751005">
      <w:bodyDiv w:val="1"/>
      <w:marLeft w:val="0"/>
      <w:marRight w:val="0"/>
      <w:marTop w:val="0"/>
      <w:marBottom w:val="0"/>
      <w:divBdr>
        <w:top w:val="none" w:sz="0" w:space="0" w:color="auto"/>
        <w:left w:val="none" w:sz="0" w:space="0" w:color="auto"/>
        <w:bottom w:val="none" w:sz="0" w:space="0" w:color="auto"/>
        <w:right w:val="none" w:sz="0" w:space="0" w:color="auto"/>
      </w:divBdr>
    </w:div>
    <w:div w:id="2089844177">
      <w:bodyDiv w:val="1"/>
      <w:marLeft w:val="0"/>
      <w:marRight w:val="0"/>
      <w:marTop w:val="0"/>
      <w:marBottom w:val="0"/>
      <w:divBdr>
        <w:top w:val="none" w:sz="0" w:space="0" w:color="auto"/>
        <w:left w:val="none" w:sz="0" w:space="0" w:color="auto"/>
        <w:bottom w:val="none" w:sz="0" w:space="0" w:color="auto"/>
        <w:right w:val="none" w:sz="0" w:space="0" w:color="auto"/>
      </w:divBdr>
    </w:div>
    <w:div w:id="2094619695">
      <w:bodyDiv w:val="1"/>
      <w:marLeft w:val="0"/>
      <w:marRight w:val="0"/>
      <w:marTop w:val="0"/>
      <w:marBottom w:val="0"/>
      <w:divBdr>
        <w:top w:val="none" w:sz="0" w:space="0" w:color="auto"/>
        <w:left w:val="none" w:sz="0" w:space="0" w:color="auto"/>
        <w:bottom w:val="none" w:sz="0" w:space="0" w:color="auto"/>
        <w:right w:val="none" w:sz="0" w:space="0" w:color="auto"/>
      </w:divBdr>
    </w:div>
    <w:div w:id="2098599526">
      <w:bodyDiv w:val="1"/>
      <w:marLeft w:val="0"/>
      <w:marRight w:val="0"/>
      <w:marTop w:val="0"/>
      <w:marBottom w:val="0"/>
      <w:divBdr>
        <w:top w:val="none" w:sz="0" w:space="0" w:color="auto"/>
        <w:left w:val="none" w:sz="0" w:space="0" w:color="auto"/>
        <w:bottom w:val="none" w:sz="0" w:space="0" w:color="auto"/>
        <w:right w:val="none" w:sz="0" w:space="0" w:color="auto"/>
      </w:divBdr>
    </w:div>
    <w:div w:id="2122796865">
      <w:bodyDiv w:val="1"/>
      <w:marLeft w:val="0"/>
      <w:marRight w:val="0"/>
      <w:marTop w:val="0"/>
      <w:marBottom w:val="0"/>
      <w:divBdr>
        <w:top w:val="none" w:sz="0" w:space="0" w:color="auto"/>
        <w:left w:val="none" w:sz="0" w:space="0" w:color="auto"/>
        <w:bottom w:val="none" w:sz="0" w:space="0" w:color="auto"/>
        <w:right w:val="none" w:sz="0" w:space="0" w:color="auto"/>
      </w:divBdr>
      <w:divsChild>
        <w:div w:id="694112625">
          <w:marLeft w:val="0"/>
          <w:marRight w:val="0"/>
          <w:marTop w:val="0"/>
          <w:marBottom w:val="0"/>
          <w:divBdr>
            <w:top w:val="none" w:sz="0" w:space="0" w:color="auto"/>
            <w:left w:val="none" w:sz="0" w:space="0" w:color="auto"/>
            <w:bottom w:val="none" w:sz="0" w:space="0" w:color="auto"/>
            <w:right w:val="none" w:sz="0" w:space="0" w:color="auto"/>
          </w:divBdr>
          <w:divsChild>
            <w:div w:id="521667562">
              <w:marLeft w:val="0"/>
              <w:marRight w:val="0"/>
              <w:marTop w:val="0"/>
              <w:marBottom w:val="0"/>
              <w:divBdr>
                <w:top w:val="none" w:sz="0" w:space="0" w:color="auto"/>
                <w:left w:val="none" w:sz="0" w:space="0" w:color="auto"/>
                <w:bottom w:val="none" w:sz="0" w:space="0" w:color="auto"/>
                <w:right w:val="none" w:sz="0" w:space="0" w:color="auto"/>
              </w:divBdr>
              <w:divsChild>
                <w:div w:id="886378424">
                  <w:marLeft w:val="0"/>
                  <w:marRight w:val="0"/>
                  <w:marTop w:val="0"/>
                  <w:marBottom w:val="0"/>
                  <w:divBdr>
                    <w:top w:val="none" w:sz="0" w:space="0" w:color="auto"/>
                    <w:left w:val="none" w:sz="0" w:space="0" w:color="auto"/>
                    <w:bottom w:val="none" w:sz="0" w:space="0" w:color="auto"/>
                    <w:right w:val="none" w:sz="0" w:space="0" w:color="auto"/>
                  </w:divBdr>
                  <w:divsChild>
                    <w:div w:id="2026470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696917">
      <w:bodyDiv w:val="1"/>
      <w:marLeft w:val="0"/>
      <w:marRight w:val="0"/>
      <w:marTop w:val="0"/>
      <w:marBottom w:val="0"/>
      <w:divBdr>
        <w:top w:val="none" w:sz="0" w:space="0" w:color="auto"/>
        <w:left w:val="none" w:sz="0" w:space="0" w:color="auto"/>
        <w:bottom w:val="none" w:sz="0" w:space="0" w:color="auto"/>
        <w:right w:val="none" w:sz="0" w:space="0" w:color="auto"/>
      </w:divBdr>
    </w:div>
    <w:div w:id="2131510701">
      <w:bodyDiv w:val="1"/>
      <w:marLeft w:val="0"/>
      <w:marRight w:val="0"/>
      <w:marTop w:val="0"/>
      <w:marBottom w:val="0"/>
      <w:divBdr>
        <w:top w:val="none" w:sz="0" w:space="0" w:color="auto"/>
        <w:left w:val="none" w:sz="0" w:space="0" w:color="auto"/>
        <w:bottom w:val="none" w:sz="0" w:space="0" w:color="auto"/>
        <w:right w:val="none" w:sz="0" w:space="0" w:color="auto"/>
      </w:divBdr>
    </w:div>
    <w:div w:id="2135712303">
      <w:bodyDiv w:val="1"/>
      <w:marLeft w:val="0"/>
      <w:marRight w:val="0"/>
      <w:marTop w:val="0"/>
      <w:marBottom w:val="0"/>
      <w:divBdr>
        <w:top w:val="none" w:sz="0" w:space="0" w:color="auto"/>
        <w:left w:val="none" w:sz="0" w:space="0" w:color="auto"/>
        <w:bottom w:val="none" w:sz="0" w:space="0" w:color="auto"/>
        <w:right w:val="none" w:sz="0" w:space="0" w:color="auto"/>
      </w:divBdr>
    </w:div>
    <w:div w:id="2136672462">
      <w:bodyDiv w:val="1"/>
      <w:marLeft w:val="0"/>
      <w:marRight w:val="0"/>
      <w:marTop w:val="0"/>
      <w:marBottom w:val="0"/>
      <w:divBdr>
        <w:top w:val="none" w:sz="0" w:space="0" w:color="auto"/>
        <w:left w:val="none" w:sz="0" w:space="0" w:color="auto"/>
        <w:bottom w:val="none" w:sz="0" w:space="0" w:color="auto"/>
        <w:right w:val="none" w:sz="0" w:space="0" w:color="auto"/>
      </w:divBdr>
    </w:div>
    <w:div w:id="2140225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s://imct.gov.co/wp-content/uploads/2025/05/INFORME-TURISMO-CONSOLIDADO-2024_compressed.pdf?utm_source=chatgpt.com" TargetMode="External"/><Relationship Id="rId3" Type="http://schemas.openxmlformats.org/officeDocument/2006/relationships/customXml" Target="../customXml/item3.xml"/><Relationship Id="rId21" Type="http://schemas.openxmlformats.org/officeDocument/2006/relationships/hyperlink" Target="https://cptur.org/ICTRC/departamentos?utm_source=chatgpt.com" TargetMode="External"/><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s://bdigital.uexternado.edu.co/entities/publication/b8521ed6-8be9-4246-86a6-ccddbb046e7f?utm_source=chatgpt.com"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s://dialnet.unirioja.es/descarga/articulo/7045880.pdf?utm_source=chatgpt.com" TargetMode="External"/><Relationship Id="rId29" Type="http://schemas.openxmlformats.org/officeDocument/2006/relationships/hyperlink" Target="https://fontur.com.co/sites/default/files/2024-02/PLAN%20SECTORIAL%20DE%20TURISMO%202022-2026.pdf?utm_source=chatgpt.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yperlink" Target="https://www.sciencedirect.com/science/article/pii/S0743016725000671?utm_source=chatgpt.com" TargetMode="External"/><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pmc.ncbi.nlm.nih.gov/articles/PMC8661877/?utm_source=chatgpt.com" TargetMode="External"/><Relationship Id="rId28" Type="http://schemas.openxmlformats.org/officeDocument/2006/relationships/hyperlink" Target="https://bdigital.uexternado.edu.co/entities/publication/0f09b5e8-d8f7-4b61-9ae7-e8e340bb62f7?utm_source=chatgpt.com" TargetMode="Externa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yperlink" Target="https://repository.ucc.edu.co/server/api/core/bitstreams/c93a9942-16f2-4d20-9323-6aeff1363427/content?utm_source=chatgpt.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cptur.org/ICTRC/departamentos?utm_source=chatgpt.com" TargetMode="External"/><Relationship Id="rId27" Type="http://schemas.openxmlformats.org/officeDocument/2006/relationships/hyperlink" Target="https://imct.gov.co/wp-content/uploads/2025/10/INFORME-TRIMESTRAL-2-2025.pdf?utm_source=chatgpt.com" TargetMode="External"/><Relationship Id="rId30" Type="http://schemas.openxmlformats.org/officeDocument/2006/relationships/hyperlink" Target="https://www.sena.edu.co/es-co/Noticias/Paginas/noticia.aspx?IdNoticia=1838&amp;utm_source=chatgpt.com" TargetMode="External"/><Relationship Id="rId8" Type="http://schemas.openxmlformats.org/officeDocument/2006/relationships/webSettings" Target="webSetting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1918FD5A61FD824AA420F0EC1A8E412C" ma:contentTypeVersion="8" ma:contentTypeDescription="Crear nuevo documento." ma:contentTypeScope="" ma:versionID="6b0d4b29c2f8500d84f396859cd11132">
  <xsd:schema xmlns:xsd="http://www.w3.org/2001/XMLSchema" xmlns:xs="http://www.w3.org/2001/XMLSchema" xmlns:p="http://schemas.microsoft.com/office/2006/metadata/properties" xmlns:ns2="b2839e30-b657-4a2a-9d94-581be8359a24" xmlns:ns3="c5e9d6c6-1d7b-4e39-ad92-d6d0949f00c6" targetNamespace="http://schemas.microsoft.com/office/2006/metadata/properties" ma:root="true" ma:fieldsID="631d4c59adb44c7b66636fbb8db16b17" ns2:_="" ns3:_="">
    <xsd:import namespace="b2839e30-b657-4a2a-9d94-581be8359a24"/>
    <xsd:import namespace="c5e9d6c6-1d7b-4e39-ad92-d6d0949f00c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839e30-b657-4a2a-9d94-581be8359a2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5e9d6c6-1d7b-4e39-ad92-d6d0949f00c6"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b:Source>
    <b:Tag>OIT19</b:Tag>
    <b:SourceType>Report</b:SourceType>
    <b:Guid>{123F9896-F127-4039-9B14-6CCD66877038}</b:Guid>
    <b:Title>Seguridad y salud en el centro del futuro del trabajo</b:Title>
    <b:Year>2019</b:Year>
    <b:Author>
      <b:Author>
        <b:Corporate>Organización Internacional del Trabajo (OIT)</b:Corporate>
      </b:Author>
    </b:Author>
    <b:URL>https://consultorsalud.com/wp-content/uploads/2019/04/informe-sobre-Seguridad-y-Salud-en-el-Trabajo.pdf</b:URL>
    <b:Institution>Organización Inrternacional de Trabajo </b:Institution>
    <b:RefOrder>1</b:RefOrder>
  </b:Source>
  <b:Source>
    <b:Tag>Org16</b:Tag>
    <b:SourceType>Report</b:SourceType>
    <b:Guid>{BDDA655D-5128-4725-B50C-2C839B55B5E8}</b:Guid>
    <b:Author>
      <b:Author>
        <b:Corporate>OIT</b:Corporate>
      </b:Author>
    </b:Author>
    <b:Title>Salud y seguridad en el trabajo en América Latina y el Caribe</b:Title>
    <b:Year>2016</b:Year>
    <b:URL>https://www.ilo.org/americas/temas/salud-y-seguridad-en-trabajo/lang--es/index.htm</b:URL>
    <b:RefOrder>2</b:RefOrder>
  </b:Source>
  <b:Source>
    <b:Tag>Mol19</b:Tag>
    <b:SourceType>JournalArticle</b:SourceType>
    <b:Guid>{1338A392-B20B-4731-B730-F518694C45B5}</b:Guid>
    <b:Title>Occupational health and safety in agriculture. A systematic review</b:Title>
    <b:Year>2019</b:Year>
    <b:JournalName>Revista de la Facultad de Medicina</b:JournalName>
    <b:Pages>625-38</b:Pages>
    <b:Author>
      <b:Author>
        <b:NameList>
          <b:Person>
            <b:Last>Molina Guzmán</b:Last>
            <b:Middle>Paola</b:Middle>
            <b:First>Licet</b:First>
          </b:Person>
          <b:Person>
            <b:Last>Ríos Osorio</b:Last>
            <b:Middle>Alberto</b:Middle>
            <b:First>Leonardo</b:First>
          </b:Person>
        </b:NameList>
      </b:Author>
    </b:Author>
    <b:Volume>68</b:Volume>
    <b:Issue>4</b:Issue>
    <b:DOI>http://dx.doi.org/10.15446/revfacmed.v68n4.76519</b:DOI>
    <b:RefOrder>3</b:RefOrder>
  </b:Source>
  <b:Source>
    <b:Tag>OIT14</b:Tag>
    <b:SourceType>Report</b:SourceType>
    <b:Guid>{7C09E0B8-D148-470F-AA1D-3F68233D1149}</b:Guid>
    <b:Title>Seguridad y salud en la agricultura</b:Title>
    <b:Year>2014</b:Year>
    <b:Author>
      <b:Author>
        <b:Corporate>OIT</b:Corporate>
      </b:Author>
    </b:Author>
    <b:City>Ginebra</b:City>
    <b:URL>https://bit.ly/3m3Ew3S.</b:URL>
    <b:RefOrder>4</b:RefOrder>
  </b:Source>
  <b:Source>
    <b:Tag>Kon17</b:Tag>
    <b:SourceType>JournalArticle</b:SourceType>
    <b:Guid>{4097479E-790F-4DCA-92ED-6EF9BEF2835D}</b:Guid>
    <b:Title>Glyphosate and Paraquat in Maternal and Fetal Serums in Thai Women</b:Title>
    <b:JournalName>Journal of Agromedicine</b:JournalName>
    <b:Year>2017</b:Year>
    <b:Pages>282-289</b:Pages>
    <b:Author>
      <b:Author>
        <b:NameList>
          <b:Person>
            <b:Last>Kongtip</b:Last>
            <b:First>Pornpimol</b:First>
          </b:Person>
          <b:Person>
            <b:Last>Nankongnab</b:Last>
            <b:First>Noppanun</b:First>
          </b:Person>
          <b:Person>
            <b:Last>Phupancaroensuk</b:Last>
            <b:First>Ratanavadee</b:First>
          </b:Person>
          <b:Person>
            <b:Last>Palarach</b:Last>
            <b:First>Chonlada</b:First>
          </b:Person>
          <b:Person>
            <b:Last>Sujirarat</b:Last>
            <b:First>Dusit</b:First>
          </b:Person>
          <b:Person>
            <b:Last>Sangprasert</b:Last>
            <b:First>Supha</b:First>
          </b:Person>
          <b:Person>
            <b:Last>Sermsuk</b:Last>
            <b:First>Malasod</b:First>
          </b:Person>
          <b:Person>
            <b:Last>Sawattrakool</b:Last>
            <b:First>Namthip</b:First>
          </b:Person>
          <b:Person>
            <b:Last>Woskie</b:Last>
            <b:First>Susan</b:First>
          </b:Person>
        </b:NameList>
      </b:Author>
    </b:Author>
    <b:DOI>10.1080/1059924X.2017.1319315</b:DOI>
    <b:RefOrder>5</b:RefOrder>
  </b:Source>
  <b:Source>
    <b:Tag>Arb01</b:Tag>
    <b:SourceType>JournalArticle</b:SourceType>
    <b:Guid>{AE119F80-F25E-4A5F-BE72-EEE607CE7554}</b:Guid>
    <b:Title>An exploratory analysis of the effect of pesticide exposure on the risk of spontaneous abortion in an Ontario farm population.</b:Title>
    <b:JournalName>Environ Health Perspect</b:JournalName>
    <b:Year>2001</b:Year>
    <b:Pages>851-857</b:Pages>
    <b:Author>
      <b:Author>
        <b:NameList>
          <b:Person>
            <b:Last>Arbuckle</b:Last>
            <b:Middle>E</b:Middle>
            <b:First>T</b:First>
          </b:Person>
          <b:Person>
            <b:Last>Lin</b:Last>
            <b:First>Z</b:First>
          </b:Person>
          <b:Person>
            <b:Last>Mery</b:Last>
            <b:Middle>S</b:Middle>
            <b:First>L</b:First>
          </b:Person>
        </b:NameList>
      </b:Author>
    </b:Author>
    <b:DOI>10.1289/ehp.01109851</b:DOI>
    <b:RefOrder>6</b:RefOrder>
  </b:Source>
  <b:Source>
    <b:Tag>PND18</b:Tag>
    <b:SourceType>InternetSite</b:SourceType>
    <b:Guid>{DD6339DE-1F55-4842-B0C5-F63A7C69FE97}</b:Guid>
    <b:Title>DNP</b:Title>
    <b:Year>2018-2022</b:Year>
    <b:Author>
      <b:Author>
        <b:Corporate>PND</b:Corporate>
      </b:Author>
    </b:Author>
    <b:InternetSiteTitle>Departamento Nacional de Planeación </b:InternetSiteTitle>
    <b:URL>https://colaboracion.dnp.gov.co/CDT/Prensa/Resumen-PND2018-2022-final.pdf</b:URL>
    <b:RefOrder>7</b:RefOrder>
  </b:Source>
  <b:Source>
    <b:Tag>DAN14</b:Tag>
    <b:SourceType>DocumentFromInternetSite</b:SourceType>
    <b:Guid>{F175C8C0-7E94-4F74-82B7-0D2C571DBE2F}</b:Guid>
    <b:Author>
      <b:Author>
        <b:Corporate>DANE</b:Corporate>
      </b:Author>
    </b:Author>
    <b:Title>Censo Nacional Agropecuario</b:Title>
    <b:Year>2014</b:Year>
    <b:URL>https://www.dane.gov.co/files/images/foros/foro-de-entrega-de-resultados-y-cierre-3-censo-nacional-agropecuario/CNATomo2-Resultados.pdf</b:URL>
    <b:RefOrder>8</b:RefOrder>
  </b:Source>
  <b:Source>
    <b:Tag>Cha19</b:Tag>
    <b:SourceType>InternetSite</b:SourceType>
    <b:Guid>{7BDC4C57-CFC6-410E-A3BB-C7532AB71702}</b:Guid>
    <b:Author>
      <b:Author>
        <b:NameList>
          <b:Person>
            <b:Last>Chavarría</b:Last>
            <b:First>Juan</b:First>
            <b:Middle>Esteban Gil</b:Middle>
          </b:Person>
        </b:NameList>
      </b:Author>
    </b:Author>
    <b:Title>Senado de la República</b:Title>
    <b:Year>2019</b:Year>
    <b:URL>http://www.senado.gov.co/index.php/prensa/lista-de-noticias/546-de-todas-las-vias-terciarias-con-las-que-cuenta-colombia-el-94-esta-en-mal-estado</b:URL>
    <b:RefOrder>9</b:RefOrder>
  </b:Source>
  <b:Source>
    <b:Tag>Min20</b:Tag>
    <b:SourceType>InternetSite</b:SourceType>
    <b:Guid>{D5EC4C3D-51E9-4C19-81D2-6B6E8234A055}</b:Guid>
    <b:Author>
      <b:Author>
        <b:Corporate>Minagricultura</b:Corporate>
      </b:Author>
    </b:Author>
    <b:Title>Ministerio de Agricultura de Colombia </b:Title>
    <b:Year>2020</b:Year>
    <b:Month>05</b:Month>
    <b:Day>15</b:Day>
    <b:URL>https://www.minagricultura.gov.co/noticias/Paginas/El-sector-agropecuario-creci%C3%B3-6,8-e-impuls%C3%B3-la-econom%C3%ADa-colombiana-en-el-primer-trimestre-de-2020-.aspx#:~:text=15%2F05%2F2020-,El%20sector%20agropecuario%20creci%C3%B3%206%2C8%25%20e%20imp</b:URL>
    <b:RefOrder>10</b:RefOrder>
  </b:Source>
  <b:Source>
    <b:Tag>DAN21</b:Tag>
    <b:SourceType>InternetSite</b:SourceType>
    <b:Guid>{3934596B-B35F-44F0-AE2B-A5F72DFF2988}</b:Guid>
    <b:Author>
      <b:Author>
        <b:Corporate>DANE</b:Corporate>
      </b:Author>
    </b:Author>
    <b:Title>Departamento Administrativo Nacional de Estadística</b:Title>
    <b:Year>2021</b:Year>
    <b:URL>https://www.dane.gov.co/files/investigaciones/boletines/pib/bol_PIB_Itrim21_producion_y_gasto.pdf</b:URL>
    <b:RefOrder>11</b:RefOrder>
  </b:Source>
  <b:Source>
    <b:Tag>DAN211</b:Tag>
    <b:SourceType>InternetSite</b:SourceType>
    <b:Guid>{8596630C-20CC-43A4-88E2-8AC80C9DA776}</b:Guid>
    <b:Author>
      <b:Author>
        <b:Corporate>DANE</b:Corporate>
      </b:Author>
    </b:Author>
    <b:Title>Departamento Administrativo Nacional de Estadística</b:Title>
    <b:Year>2021</b:Year>
    <b:URL>https://www.dane.gov.co/files/investigaciones/boletines/exportaciones/bol_exp_abr21.pdf</b:URL>
    <b:RefOrder>12</b:RefOrder>
  </b:Source>
  <b:Source>
    <b:Tag>Spe79</b:Tag>
    <b:SourceType>Report</b:SourceType>
    <b:Guid>{4B25D29C-15C9-492C-8018-5C5610BF9879}</b:Guid>
    <b:Title>An Introduction to Agricultural Systems. Chapter 7, Classification of Agricultural Systems</b:Title>
    <b:Year>1979</b:Year>
    <b:Author>
      <b:Author>
        <b:NameList>
          <b:Person>
            <b:Last>Spedding</b:Last>
            <b:First>C.</b:First>
            <b:Middle>R. W</b:Middle>
          </b:Person>
        </b:NameList>
      </b:Author>
    </b:Author>
    <b:Publisher>Applied Science Publishers, England. pp. 89–100.</b:Publisher>
    <b:RefOrder>13</b:RefOrder>
  </b:Source>
  <b:Source>
    <b:Tag>Ins17</b:Tag>
    <b:SourceType>InternetSite</b:SourceType>
    <b:Guid>{34CCAD43-D9F4-4EEE-A4CE-183DF8484FA0}</b:Guid>
    <b:Author>
      <b:Author>
        <b:Corporate>NIOSH</b:Corporate>
      </b:Author>
    </b:Author>
    <b:Title>Agricultura</b:Title>
    <b:Year>2017</b:Year>
    <b:URL>https://www.cdc.gov/spanish/niosh/topics/agriculture.html#:~:text=Los%20agricultores%20est%C3%A1n%20en%20alto,la%20exposici%C3%B3n%20prolongada%20al%20sol.</b:URL>
    <b:InternetSiteTitle>Instituto Nacional para la seguridad y Salud Ocupacional (NIOSH)</b:InternetSiteTitle>
    <b:RefOrder>14</b:RefOrder>
  </b:Source>
  <b:Source>
    <b:Tag>Ela21</b:Tag>
    <b:SourceType>JournalArticle</b:SourceType>
    <b:Guid>{40406395-E4B2-467C-A92B-1B739220825B}</b:Guid>
    <b:Title>Estimating Exposure to Three Commonly Used, Potentially Carcinogenic Pesticides (Chlorolathonil, 2,4-D, and Glyphosate) Among Agricultural Workers in Canada</b:Title>
    <b:Year>2021</b:Year>
    <b:Author>
      <b:Author>
        <b:NameList>
          <b:Person>
            <b:Last>Rydz</b:Last>
            <b:First>Ela</b:First>
          </b:Person>
          <b:Person>
            <b:Last>Larsen</b:Last>
            <b:First>Kristian</b:First>
          </b:Person>
          <b:Person>
            <b:Last>Peters</b:Last>
            <b:Middle>E</b:Middle>
            <b:First>Cheryl</b:First>
          </b:Person>
        </b:NameList>
      </b:Author>
    </b:Author>
    <b:JournalName>Annals of Work Exposures and Health</b:JournalName>
    <b:Pages>377-389</b:Pages>
    <b:Volume>65</b:Volume>
    <b:RefOrder>15</b:RefOrder>
  </b:Source>
  <b:Source>
    <b:Tag>Coo07</b:Tag>
    <b:SourceType>JournalArticle</b:SourceType>
    <b:Guid>{689EF3D3-69C3-4562-B82C-D41DAFDE3CC5}</b:Guid>
    <b:Title>The benefits of pesticides to mankind and the environment</b:Title>
    <b:JournalName>Cop Protection</b:JournalName>
    <b:Year>2007</b:Year>
    <b:Pages>1337-1348</b:Pages>
    <b:Author>
      <b:Author>
        <b:NameList>
          <b:Person>
            <b:Last>Cooper</b:Last>
            <b:First>Jerry</b:First>
          </b:Person>
          <b:Person>
            <b:Last>Dobson</b:Last>
            <b:First>Hans</b:First>
          </b:Person>
        </b:NameList>
      </b:Author>
    </b:Author>
    <b:Volume>26</b:Volume>
    <b:RefOrder>16</b:RefOrder>
  </b:Source>
  <b:Source>
    <b:Tag>MAD20</b:Tag>
    <b:SourceType>Report</b:SourceType>
    <b:Guid>{4D5F1FC6-7857-4CD2-ACE7-57C82B215F84}</b:Guid>
    <b:Author>
      <b:Author>
        <b:Corporate>MADR</b:Corporate>
      </b:Author>
    </b:Author>
    <b:Title>Boletín de precios de insumos agrícolas No.2</b:Title>
    <b:Year>2020</b:Year>
    <b:RefOrder>17</b:RefOrder>
  </b:Source>
  <b:Source>
    <b:Tag>Nic16</b:Tag>
    <b:SourceType>Report</b:SourceType>
    <b:Guid>{46FE731A-8145-45BE-A5BC-9F07B726B54B}</b:Guid>
    <b:Title>Chemical Pesticides and Human Health: The Urgent Need for a New Concept in Agriculture</b:Title>
    <b:Year>2016</b:Year>
    <b:Publisher>Journal, Frontiers in Public Health</b:Publisher>
    <b:Pages>148</b:Pages>
    <b:DOI>10.3389/fpubh.2016.00148</b:DOI>
    <b:Author>
      <b:Author>
        <b:NameList>
          <b:Person>
            <b:Last>Nicolopoulou-Stamati </b:Last>
            <b:First>Polyxeni</b:First>
          </b:Person>
          <b:Person>
            <b:Last>Maipas</b:Last>
            <b:First>Sotirios</b:First>
          </b:Person>
          <b:Person>
            <b:Last>Kotampasi</b:Last>
            <b:First>Chrysanthi</b:First>
          </b:Person>
          <b:Person>
            <b:Last>Stamatis</b:Last>
            <b:First>Panagiotis</b:First>
          </b:Person>
          <b:Person>
            <b:Last>Hens</b:Last>
            <b:First>Luc</b:First>
          </b:Person>
        </b:NameList>
      </b:Author>
    </b:Author>
    <b:RefOrder>18</b:RefOrder>
  </b:Source>
  <b:Source>
    <b:Tag>Gun07</b:Tag>
    <b:SourceType>Report</b:SourceType>
    <b:Guid>{3D6B1CA2-7B16-4EA4-AA5F-928A10A194EA}</b:Guid>
    <b:Title>The global distribution of fatal pesticide self-poisoning: systematic review</b:Title>
    <b:Year>2007</b:Year>
    <b:Publisher>Salud Pública de BMC</b:Publisher>
    <b:Author>
      <b:Author>
        <b:NameList>
          <b:Person>
            <b:Last>Gunnell</b:Last>
            <b:First>D</b:First>
          </b:Person>
          <b:Person>
            <b:Last>Eddleston </b:Last>
            <b:First>M</b:First>
          </b:Person>
          <b:Person>
            <b:Last>Phillips</b:Last>
            <b:First>MR</b:First>
          </b:Person>
          <b:Person>
            <b:Last>Konradsen</b:Last>
            <b:First>F</b:First>
          </b:Person>
        </b:NameList>
      </b:Author>
    </b:Author>
    <b:DOI>10.1186 / 1471-2458-7-357</b:DOI>
    <b:RefOrder>19</b:RefOrder>
  </b:Source>
  <b:Source>
    <b:Tag>Her14</b:Tag>
    <b:SourceType>Book</b:SourceType>
    <b:Guid>{E5A5684B-675C-40CC-8475-70549F58706E}</b:Guid>
    <b:Title>Metodología de la investigación</b:Title>
    <b:Year>2014</b:Year>
    <b:Publisher>McGrwall Hill Education</b:Publisher>
    <b:City>México</b:City>
    <b:Author>
      <b:Author>
        <b:NameList>
          <b:Person>
            <b:Last>Hernández</b:Last>
            <b:First>R</b:First>
          </b:Person>
          <b:Person>
            <b:Last>Fernández</b:Last>
            <b:First>C</b:First>
          </b:Person>
          <b:Person>
            <b:Last>Baptista</b:Last>
            <b:First>P</b:First>
          </b:Person>
        </b:NameList>
      </b:Author>
    </b:Author>
    <b:Edition>6ª</b:Edition>
    <b:RefOrder>20</b:RefOrder>
  </b:Source>
  <b:Source>
    <b:Tag>Her141</b:Tag>
    <b:SourceType>Book</b:SourceType>
    <b:Guid>{DEAA47A3-F1A4-4E62-B630-6C3757E4430D}</b:Guid>
    <b:Title>Metodología de la investigación</b:Title>
    <b:Year>2014</b:Year>
    <b:City>México</b:City>
    <b:Publisher>McGrwall Hill Education</b:Publisher>
    <b:Author>
      <b:Author>
        <b:NameList>
          <b:Person>
            <b:Last>Hernández</b:Last>
            <b:First>R</b:First>
          </b:Person>
          <b:Person>
            <b:Last>Fernández</b:Last>
            <b:First>C</b:First>
          </b:Person>
          <b:Person>
            <b:Last>Baptista</b:Last>
            <b:First>P</b:First>
          </b:Person>
        </b:NameList>
      </b:Author>
    </b:Author>
    <b:Edition>6ª</b:Edition>
    <b:RefOrder>21</b:RefOrder>
  </b:Source>
  <b:Source>
    <b:Tag>Pat18</b:Tag>
    <b:SourceType>JournalArticle</b:SourceType>
    <b:Guid>{F54E9AB0-F0B8-4E6E-BFC1-4D75DD54F0A4}</b:Guid>
    <b:Title>Pesticide use, allergic rhinitis, and asthma among US farm operators</b:Title>
    <b:JournalName>J Agromedicine</b:JournalName>
    <b:Year>2018</b:Year>
    <b:Pages>327–335</b:Pages>
    <b:Author>
      <b:Author>
        <b:NameList>
          <b:Person>
            <b:Last>Patel</b:Last>
            <b:First>O</b:First>
          </b:Person>
          <b:Person>
            <b:Last>Symlal</b:Last>
            <b:First>Girija</b:First>
          </b:Person>
          <b:Person>
            <b:Last>Henneberger</b:Last>
          </b:Person>
          <b:Person>
            <b:Last>P</b:Last>
            <b:First>K</b:First>
          </b:Person>
          <b:Person>
            <b:Last>Alarcon</b:Last>
            <b:Middle>A</b:Middle>
            <b:First>W</b:First>
          </b:Person>
          <b:Person>
            <b:Last>Mazurek</b:Last>
            <b:Middle>M</b:Middle>
            <b:First>J</b:First>
          </b:Person>
        </b:NameList>
      </b:Author>
    </b:Author>
    <b:DOI>10.1080/1059924X.2018.1501451</b:DOI>
    <b:RefOrder>22</b:RefOrder>
  </b:Source>
  <b:Source>
    <b:Tag>Sla09</b:Tag>
    <b:SourceType>JournalArticle</b:SourceType>
    <b:Guid>{97CE7961-568D-4EB8-BF80-23F15F3AF2DE}</b:Guid>
    <b:Title>Rhinitis associated with pesticide exposure among commercial pesticide applicators in the Agricultural Health Study</b:Title>
    <b:JournalName>Occupational and Environmental Medicine</b:JournalName>
    <b:Year>2009</b:Year>
    <b:Pages>718-724</b:Pages>
    <b:Author>
      <b:Author>
        <b:NameList>
          <b:Person>
            <b:Last>Slager</b:Last>
            <b:Middle>E</b:Middle>
            <b:First>R</b:First>
          </b:Person>
          <b:Person>
            <b:Last>Poole</b:Last>
            <b:Middle>A</b:Middle>
            <b:First>J</b:First>
          </b:Person>
          <b:Person>
            <b:Last>LeVan</b:Last>
            <b:Middle>D</b:Middle>
            <b:First>T</b:First>
          </b:Person>
          <b:Person>
            <b:Last>Sandler</b:Last>
            <b:Middle>P</b:Middle>
            <b:First>D</b:First>
          </b:Person>
          <b:Person>
            <b:Last>Alavanja</b:Last>
            <b:Middle>C</b:Middle>
            <b:First>M</b:First>
          </b:Person>
          <b:Person>
            <b:Last>Hoppin</b:Last>
            <b:Middle>A</b:Middle>
            <b:First>J</b:First>
          </b:Person>
        </b:NameList>
      </b:Author>
    </b:Author>
    <b:RefOrder>23</b:RefOrder>
  </b:Source>
  <b:Source>
    <b:Tag>Ren17</b:Tag>
    <b:SourceType>JournalArticle</b:SourceType>
    <b:Guid>{4312525D-EE33-49F6-9AAD-866824A00267}</b:Guid>
    <b:Title>Glyphosate Residues in Groundwater, Drinking Water and Urine of Subsistence Farmers from Intensive Agriculture Localities: A Survey in Hopelchén, Campeche, Mexico</b:Title>
    <b:JournalName>Int. J. Environ. Res. Public Health</b:JournalName>
    <b:Year>2017</b:Year>
    <b:DOI>https://doi.org/10.3390/ijerph14060595</b:DOI>
    <b:Author>
      <b:Author>
        <b:NameList>
          <b:Person>
            <b:Last>Rendon-Von Osten</b:Last>
            <b:First>J</b:First>
          </b:Person>
          <b:Person>
            <b:Last>Dzul-Caamal</b:Last>
            <b:First>R</b:First>
          </b:Person>
        </b:NameList>
      </b:Author>
    </b:Author>
    <b:RefOrder>24</b:RefOrder>
  </b:Source>
  <b:Source>
    <b:Tag>Zha16</b:Tag>
    <b:SourceType>JournalArticle</b:SourceType>
    <b:Guid>{8191E2A9-5161-414E-B4BD-3E38A562B7A5}</b:Guid>
    <b:Title>Health effect of agricultural pesticide use in China: implications for the development of GM crops</b:Title>
    <b:JournalName>Sci. Rep</b:JournalName>
    <b:Year>2016</b:Year>
    <b:DOI>10.1038/srep34918</b:DOI>
    <b:Author>
      <b:Author>
        <b:NameList>
          <b:Person>
            <b:Last>Zhang</b:Last>
            <b:First>C</b:First>
          </b:Person>
          <b:Person>
            <b:Last>Hu</b:Last>
            <b:First>Ruifa</b:First>
          </b:Person>
          <b:Person>
            <b:Last>Huang</b:Last>
            <b:First>Jikun</b:First>
          </b:Person>
          <b:Person>
            <b:Last>Huang</b:Last>
            <b:First>Xusheng</b:First>
          </b:Person>
          <b:Person>
            <b:Last>Shi</b:Last>
            <b:First>Guanming</b:First>
          </b:Person>
          <b:Person>
            <b:Last>Li</b:Last>
            <b:First>Yijan</b:First>
          </b:Person>
          <b:Person>
            <b:Last>Yin</b:Last>
            <b:First>Yanhong</b:First>
          </b:Person>
          <b:Person>
            <b:Last>Chen</b:Last>
            <b:First>Zhaohui</b:First>
          </b:Person>
        </b:NameList>
      </b:Author>
    </b:Author>
    <b:RefOrder>25</b:RefOrder>
  </b:Source>
  <b:Source>
    <b:Tag>Sor15</b:Tag>
    <b:SourceType>JournalArticle</b:SourceType>
    <b:Guid>{59DEE012-BAE2-4329-8017-11ECC832BD0F}</b:Guid>
    <b:Author>
      <b:Author>
        <b:NameList>
          <b:Person>
            <b:Last>Sorahan</b:Last>
            <b:First>Tom</b:First>
          </b:Person>
        </b:NameList>
      </b:Author>
    </b:Author>
    <b:Title>Multiple myeloma and glyphosate use: A re-analysis of US agricultural health study (AHS) data</b:Title>
    <b:JournalName>Int. J. Environ. Res. Public Health</b:JournalName>
    <b:Year>2015</b:Year>
    <b:Pages>1548-1559</b:Pages>
    <b:DOI> https://doi.org/10.3390/ijerph120201548</b:DOI>
    <b:RefOrder>26</b:RefOrder>
  </b:Source>
  <b:Source>
    <b:Tag>And17</b:Tag>
    <b:SourceType>JournalArticle</b:SourceType>
    <b:Guid>{79A343A9-9F9D-4F12-9B2B-D8E09D97E4D4}</b:Guid>
    <b:Title>Glyphosate Use and Cancer Incidence in the Agricultural Health Study</b:Title>
    <b:JournalName>JNCI: Journal of the National Cancer Institute</b:JournalName>
    <b:Year>2017</b:Year>
    <b:Pages>509-516</b:Pages>
    <b:Author>
      <b:Author>
        <b:NameList>
          <b:Person>
            <b:Last>Andreotti</b:Last>
            <b:First>Gabriella</b:First>
          </b:Person>
          <b:Person>
            <b:Last>Koutros</b:Last>
            <b:First>Stella</b:First>
          </b:Person>
          <b:Person>
            <b:Last> Hofmann</b:Last>
            <b:First>Jonathan</b:First>
          </b:Person>
          <b:Person>
            <b:Last>Sandler</b:Last>
            <b:First>Dale</b:First>
          </b:Person>
          <b:Person>
            <b:Last>Lubin</b:Last>
            <b:First>Jay</b:First>
          </b:Person>
          <b:Person>
            <b:Last>Lynch</b:Last>
            <b:First>Charles</b:First>
          </b:Person>
          <b:Person>
            <b:Last>Lerro</b:Last>
            <b:First>Catherine</b:First>
          </b:Person>
          <b:Person>
            <b:Last>De Roos</b:Last>
            <b:First>Anneclaire</b:First>
          </b:Person>
          <b:Person>
            <b:Last>Parks</b:Last>
            <b:First>Christine</b:First>
          </b:Person>
          <b:Person>
            <b:Last>Alavanja</b:Last>
            <b:First>Michael</b:First>
          </b:Person>
          <b:Person>
            <b:Last>Silverman</b:Last>
            <b:First>Debra</b:First>
          </b:Person>
          <b:Person>
            <b:Last>Beane</b:Last>
            <b:First>Laura</b:First>
          </b:Person>
        </b:NameList>
      </b:Author>
    </b:Author>
    <b:RefOrder>27</b:RefOrder>
  </b:Source>
  <b:Source>
    <b:Tag>Mel21</b:Tag>
    <b:SourceType>JournalArticle</b:SourceType>
    <b:Guid>{F1A21A16-88C8-4A59-A262-EB4EDB9DE195}</b:Guid>
    <b:Title>Occupational exposure to glyphosate and risk of lymphoma:results of an Italian multicenter case-control study</b:Title>
    <b:JournalName>Environmental Health volume</b:JournalName>
    <b:Year>2021</b:Year>
    <b:DOI>https://doi.org/10.1186/s12940-021-00729-8</b:DOI>
    <b:Author>
      <b:Author>
        <b:NameList>
          <b:Person>
            <b:Last>Meloni</b:Last>
            <b:First>F</b:First>
          </b:Person>
          <b:Person>
            <b:Last>Satta</b:Last>
            <b:First>G</b:First>
          </b:Person>
          <b:Person>
            <b:Last>Padoan</b:Last>
            <b:First>M</b:First>
          </b:Person>
          <b:Person>
            <b:Last>Montagna</b:Last>
            <b:First>A</b:First>
          </b:Person>
          <b:Person>
            <b:Last> Pilia</b:Last>
            <b:First>I</b:First>
          </b:Person>
          <b:Person>
            <b:Last> Argiolas</b:Last>
            <b:First>A</b:First>
          </b:Person>
          <b:Person>
            <b:Last>Piro</b:Last>
            <b:First>S</b:First>
          </b:Person>
          <b:Person>
            <b:Last> Magnani</b:Last>
            <b:First>C</b:First>
          </b:Person>
          <b:Person>
            <b:Last>Gambelunghe </b:Last>
            <b:First>A</b:First>
          </b:Person>
          <b:Person>
            <b:Last> Muzi</b:Last>
            <b:First>G</b:First>
          </b:Person>
          <b:Person>
            <b:Last>Maria </b:Last>
            <b:First>G</b:First>
          </b:Person>
          <b:Person>
            <b:Last> Vimercati</b:Last>
            <b:First>L</b:First>
          </b:Person>
          <b:Person>
            <b:Last> Zanotti</b:Last>
            <b:First>R</b:First>
          </b:Person>
          <b:Person>
            <b:Last> Scarpa</b:Last>
            <b:First>A</b:First>
          </b:Person>
          <b:Person>
            <b:Last>Zucca</b:Last>
            <b:First>M</b:First>
          </b:Person>
          <b:Person>
            <b:Last> De Matteis</b:Last>
            <b:First>S</b:First>
          </b:Person>
          <b:Person>
            <b:Last>Campa</b:Last>
            <b:First>M</b:First>
          </b:Person>
          <b:Person>
            <b:Last>Miligi </b:Last>
            <b:First>L</b:First>
          </b:Person>
          <b:Person>
            <b:Last> Cocco</b:Last>
            <b:First>P</b:First>
          </b:Person>
        </b:NameList>
      </b:Author>
    </b:Author>
    <b:RefOrder>28</b:RefOrder>
  </b:Source>
  <b:Source>
    <b:Tag>Wum18</b:Tag>
    <b:SourceType>JournalArticle</b:SourceType>
    <b:Guid>{24EFF856-A0AC-4774-B2BD-257B032BC7A7}</b:Guid>
    <b:Title>Pesticides use and exposure among yam farmers in the Nanumba traditional area of Ghana</b:Title>
    <b:JournalName>Environ Monit Assessment</b:JournalName>
    <b:Year>2018</b:Year>
    <b:DOI>https://doi.org/10.1007/s10661-019-7449-5</b:DOI>
    <b:Author>
      <b:Author>
        <b:NameList>
          <b:Person>
            <b:Last>Wumbei</b:Last>
            <b:First>A</b:First>
          </b:Person>
          <b:Person>
            <b:Last>Houbraken</b:Last>
            <b:First>M</b:First>
          </b:Person>
          <b:Person>
            <b:Last>Spanoghe</b:Last>
            <b:First>P</b:First>
          </b:Person>
        </b:NameList>
      </b:Author>
    </b:Author>
    <b:RefOrder>29</b:RefOrder>
  </b:Source>
  <b:Source>
    <b:Tag>Kon171</b:Tag>
    <b:SourceType>JournalArticle</b:SourceType>
    <b:Guid>{9AEE25FC-6D6E-4A5D-8F31-49A0B374C2B1}</b:Guid>
    <b:Title>Glyphosate and Paraquat in Maternal and Fetal Serums in Thai Women</b:Title>
    <b:Year>2017</b:Year>
    <b:Pages>282-289</b:Pages>
    <b:DOI>https://doi.org/10.1080/1059924X.2017.1319315</b:DOI>
    <b:Author>
      <b:Author>
        <b:NameList>
          <b:Person>
            <b:Last>Kongtip</b:Last>
            <b:First>P</b:First>
          </b:Person>
          <b:Person>
            <b:Last>Nankongnaba</b:Last>
            <b:First>N</b:First>
          </b:Person>
          <b:Person>
            <b:Last>Phupancharoensuk</b:Last>
            <b:First>R</b:First>
          </b:Person>
          <b:Person>
            <b:Last>Palarach</b:Last>
            <b:First>C</b:First>
          </b:Person>
          <b:Person>
            <b:Last>Sujirarat</b:Last>
            <b:First>D</b:First>
          </b:Person>
          <b:Person>
            <b:Last>Sangprasert</b:Last>
            <b:First>S</b:First>
          </b:Person>
          <b:Person>
            <b:Last>Sermsuk</b:Last>
            <b:First>M</b:First>
          </b:Person>
          <b:Person>
            <b:Last>Sawattrakool</b:Last>
            <b:First>N</b:First>
          </b:Person>
          <b:Person>
            <b:Last>Woskie</b:Last>
            <b:First>S</b:First>
          </b:Person>
        </b:NameList>
      </b:Author>
    </b:Author>
    <b:RefOrder>30</b:RefOrder>
  </b:Source>
  <b:Source>
    <b:Tag>Vil22</b:Tag>
    <b:SourceType>InternetSite</b:SourceType>
    <b:Guid>{631BD434-F774-472B-9384-8B51B997DF16}</b:Guid>
    <b:Title>Manual MSD</b:Title>
    <b:Year>2022</b:Year>
    <b:Author>
      <b:Author>
        <b:NameList>
          <b:Person>
            <b:Last>Villa-Forte</b:Last>
            <b:First>Alexandra</b:First>
          </b:Person>
        </b:NameList>
      </b:Author>
    </b:Author>
    <b:Month>Abril</b:Month>
    <b:URL>https://www.msdmanuals.com/es/hogar/fundamentos/el-cuerpo-humano/tejidos-y-%C3%B3rganos</b:URL>
    <b:RefOrder>31</b:RefOrder>
  </b:Source>
  <b:Source>
    <b:Tag>San22</b:Tag>
    <b:SourceType>InternetSite</b:SourceType>
    <b:Guid>{4351D3DA-940C-4036-90AA-578D7D2F558F}</b:Guid>
    <b:Author>
      <b:Author>
        <b:NameList>
          <b:Person>
            <b:Last>MD</b:Last>
            <b:First>Santiago</b:First>
            <b:Middle>Nova</b:Middle>
          </b:Person>
        </b:NameList>
      </b:Author>
    </b:Author>
    <b:Year>2022</b:Year>
    <b:Month>Agosto</b:Month>
    <b:URL>https://www.kenhub.com/es/library/anatomia-es/sistemas-del-cuerpo-humano</b:URL>
    <b:RefOrder>32</b:RefOrder>
  </b:Source>
  <b:Source>
    <b:Tag>Lau22</b:Tag>
    <b:SourceType>InternetSite</b:SourceType>
    <b:Guid>{6F64DA73-C2D9-4211-9879-541A729016FF}</b:Guid>
    <b:Author>
      <b:Author>
        <b:NameList>
          <b:Person>
            <b:Last>Arranz</b:Last>
            <b:First>Laura</b:First>
            <b:Middle>I.</b:Middle>
          </b:Person>
        </b:NameList>
      </b:Author>
    </b:Author>
    <b:Title>Bioeco actual</b:Title>
    <b:Year>2022</b:Year>
    <b:Month>Abril</b:Month>
    <b:URL>https://www.bioecoactual.com/2022/04/24/pesticidas-y-estres-oxidativo/#:~:text=Pero%2C%20%C2%BFqu%C3%A9%20es%20el%20estr%C3%A9s,c%C3%A9lulas%20con%20sus%20defensas%20antioxidantes.</b:URL>
    <b:RefOrder>33</b:RefOrder>
  </b:Source>
  <b:Source>
    <b:Tag>Pav18</b:Tag>
    <b:SourceType>JournalArticle</b:SourceType>
    <b:Guid>{5C7ED465-8B41-46F4-8DF6-6C7FA6BC9590}</b:Guid>
    <b:Title>Occupational exposure to pesticides in family agriculture and the oxidative, biochemical and hematological profile in this agricultural model</b:Title>
    <b:Year>2018</b:Year>
    <b:JournalName>Life Science</b:JournalName>
    <b:Author>
      <b:Author>
        <b:NameList>
          <b:Person>
            <b:Last>Pavanelo Cattelan</b:Last>
            <b:First>Márcia Denise </b:First>
          </b:Person>
          <b:Person>
            <b:Last>Maurer</b:Last>
            <b:First>Patrícia </b:First>
          </b:Person>
          <b:Person>
            <b:Last>Fernandez Garcia</b:Last>
            <b:First>Lyana Feijoó</b:First>
          </b:Person>
          <b:Person>
            <b:Last>Mansur Machado</b:Last>
            <b:First>Michel</b:First>
          </b:Person>
          <b:Person>
            <b:Last>Vanusa </b:Last>
            <b:First>Manfredini</b:First>
          </b:Person>
          <b:Person>
            <b:Last>Jacqueline </b:Last>
            <b:First>Escobar Piccoli</b:First>
          </b:Person>
        </b:NameList>
      </b:Author>
    </b:Author>
    <b:RefOrder>34</b:RefOrder>
  </b:Source>
  <b:Source>
    <b:Tag>Eat22</b:Tag>
    <b:SourceType>JournalArticle</b:SourceType>
    <b:Guid>{75D5D6DE-34BB-4E5F-ACC8-34F85C47EE54}</b:Guid>
    <b:Author>
      <b:Author>
        <b:NameList>
          <b:Person>
            <b:Last>Eaton</b:Last>
            <b:First>Jarrod</b:First>
            <b:Middle>L</b:Middle>
          </b:Person>
          <b:Person>
            <b:Last>Cathey</b:Last>
            <b:First>Amber</b:First>
            <b:Middle>L</b:Middle>
          </b:Person>
          <b:Person>
            <b:Last>Fernandez</b:Last>
            <b:First>Jennifer</b:First>
            <b:Middle>A</b:Middle>
          </b:Person>
          <b:Person>
            <b:Last>Watkins</b:Last>
            <b:First>Deborah</b:First>
            <b:Middle>J</b:Middle>
          </b:Person>
          <b:Person>
            <b:Last>Silver</b:Last>
            <b:First>Monica</b:First>
            <b:Middle>K</b:Middle>
          </b:Person>
          <b:Person>
            <b:Last>Milne</b:Last>
            <b:First>Ginger</b:First>
            <b:Middle>L</b:Middle>
          </b:Person>
          <b:Person>
            <b:Last>Velez-Vega</b:Last>
            <b:First>Carmen</b:First>
          </b:Person>
          <b:Person>
            <b:Last>Rosario</b:Last>
            <b:First>Zaira</b:First>
          </b:Person>
          <b:Person>
            <b:Last>Cordero</b:Last>
            <b:First>Jose</b:First>
          </b:Person>
          <b:Person>
            <b:Last>Alshawabkeh</b:Last>
            <b:First>Akram</b:First>
          </b:Person>
          <b:Person>
            <b:Last>Meeker</b:Last>
            <b:First>John</b:First>
            <b:Middle>D</b:Middle>
          </b:Person>
        </b:NameList>
      </b:Author>
    </b:Author>
    <b:Title>The association between urinary glyphosate and aminomethyl phosphonic acid with biomarkers of oxidative stress among pregnant women in the PROTECT birth cohort study</b:Title>
    <b:JournalName>Ecotoxicol Environ Saf</b:JournalName>
    <b:Year>2022</b:Year>
    <b:RefOrder>35</b:RefOrder>
  </b:Source>
  <b:Source>
    <b:Tag>Unc21</b:Tag>
    <b:SourceType>JournalArticle</b:SourceType>
    <b:Guid>{5BC06C9D-A319-4003-85A3-337225A54C13}</b:Guid>
    <b:Author>
      <b:Author>
        <b:NameList>
          <b:Person>
            <b:Last>Intayoung</b:Last>
            <b:First>Unchisa</b:First>
          </b:Person>
          <b:Person>
            <b:Last>Wunnapuk</b:Last>
            <b:First>Klintean</b:First>
          </b:Person>
          <b:Person>
            <b:Last>Kohsuwan</b:Last>
            <b:First>Kanyapak</b:First>
          </b:Person>
          <b:Person>
            <b:Last>Sapbamrer</b:Last>
            <b:First>Ratana</b:First>
          </b:Person>
          <b:Person>
            <b:Last>Khacha-ananda</b:Last>
            <b:First>Supakit</b:First>
          </b:Person>
        </b:NameList>
      </b:Author>
    </b:Author>
    <b:Title>Effect of Occupational Exposure to Herbicides on Oxidative Stress in Sprayers</b:Title>
    <b:JournalName>Safety and Health at Work</b:JournalName>
    <b:Year>2021</b:Year>
    <b:Pages>127-132</b:Pages>
    <b:RefOrder>36</b:RefOrder>
  </b:Source>
  <b:Source>
    <b:Tag>NID16</b:Tag>
    <b:SourceType>InternetSite</b:SourceType>
    <b:Guid>{3CE2D7E8-F418-408D-8514-141F17D325AE}</b:Guid>
    <b:Title>U.S Department of Health and Human Services</b:Title>
    <b:Year>2016</b:Year>
    <b:Author>
      <b:Author>
        <b:Corporate>NIDDK</b:Corporate>
      </b:Author>
    </b:Author>
    <b:Month>Noviembre</b:Month>
    <b:URL>https://www.niddk.nih.gov/health-information/informacion-de-la-salud/diabetes/informacion-general/que-es</b:URL>
    <b:RefOrder>37</b:RefOrder>
  </b:Source>
  <b:Source>
    <b:Tag>Bal19</b:Tag>
    <b:SourceType>JournalArticle</b:SourceType>
    <b:Guid>{63EA898B-7F73-4745-8EF7-865352EC585B}</b:Guid>
    <b:Title>Herbicide biomonitoring in agricultural workers in Valle del Mayo, Sonora Mexico</b:Title>
    <b:Year>2019</b:Year>
    <b:Author>
      <b:Author>
        <b:NameList>
          <b:Person>
            <b:Last>Balderrama-Carmona</b:Last>
            <b:First>Ana</b:First>
            <b:Middle>Paola</b:Middle>
          </b:Person>
          <b:Person>
            <b:Last>Valenzuela-Rincón</b:Last>
            <b:First>Melissa</b:First>
          </b:Person>
          <b:Person>
            <b:Last>Zamora-Álvarez</b:Last>
            <b:First>Luis</b:First>
            <b:Middle>Alberto</b:Middle>
          </b:Person>
          <b:Person>
            <b:Last>Adan-Bante</b:Last>
            <b:First>Norma</b:First>
            <b:Middle>Patricia</b:Middle>
          </b:Person>
          <b:Person>
            <b:Last>Leyva-Soto</b:Last>
            <b:First>Luis</b:First>
            <b:Middle>Alonso</b:Middle>
          </b:Person>
          <b:Person>
            <b:Last>Silva-Beltrán</b:Last>
            <b:First>Norma</b:First>
            <b:Middle>Patricia</b:Middle>
          </b:Person>
          <b:Person>
            <b:Last>Morán-Palacio</b:Last>
            <b:First>Edgar</b:First>
            <b:Middle>Felipe</b:Middle>
          </b:Person>
        </b:NameList>
      </b:Author>
    </b:Author>
    <b:JournalName>Environ Sci Pollut Res Int</b:JournalName>
    <b:RefOrder>38</b:RefOrder>
  </b:Source>
  <b:Source>
    <b:Tag>Cat18</b:Tag>
    <b:SourceType>JournalArticle</b:SourceType>
    <b:Guid>{1BE6FC62-71C9-46D1-9F7C-639D4D15B075}</b:Guid>
    <b:Author>
      <b:Author>
        <b:NameList>
          <b:Person>
            <b:Last>Cattelan</b:Last>
            <b:First>Márcia</b:First>
            <b:Middle>Denise Pavanelo</b:Middle>
          </b:Person>
          <b:Person>
            <b:Last>Maurer</b:Last>
            <b:First>Patrícia</b:First>
          </b:Person>
          <b:Person>
            <b:Last>Garcia</b:Last>
            <b:First>Fernandez</b:First>
          </b:Person>
          <b:Person>
            <b:Last>Berro</b:Last>
            <b:First>Lyana</b:First>
            <b:Middle>Feijoó</b:Middle>
          </b:Person>
          <b:Person>
            <b:Last>Machado</b:Last>
            <b:First>Michel</b:First>
            <b:Middle>Mansur</b:Middle>
          </b:Person>
          <b:Person>
            <b:Last>Manfredini</b:Last>
            <b:First>Vanusa</b:First>
          </b:Person>
          <b:Person>
            <b:Last>Piccoli</b:Last>
            <b:First>Jacqueline</b:First>
            <b:Middle>da Costa Escobar</b:Middle>
          </b:Person>
        </b:NameList>
      </b:Author>
    </b:Author>
    <b:Title>Occupational exposure to pesticides in family agriculture and the oxidative, biochemical and hematological profile in this agricultural model</b:Title>
    <b:JournalName>Life Sciences</b:JournalName>
    <b:Year>2018</b:Year>
    <b:RefOrder>39</b:RefOrder>
  </b:Source>
  <b:Source>
    <b:Tag>NIH21</b:Tag>
    <b:SourceType>DocumentFromInternetSite</b:SourceType>
    <b:Guid>{0C8907F4-833A-4D39-8FDD-328945749241}</b:Guid>
    <b:Title>Instituto Nacional del Cáncer</b:Title>
    <b:Year>2021</b:Year>
    <b:Author>
      <b:Author>
        <b:Corporate>NIH</b:Corporate>
      </b:Author>
    </b:Author>
    <b:Month>Mayo</b:Month>
    <b:URL>https://www.cancer.gov/espanol/cancer/naturaleza/que-es</b:URL>
    <b:RefOrder>40</b:RefOrder>
  </b:Source>
  <b:Source>
    <b:Tag>Ame20</b:Tag>
    <b:SourceType>DocumentFromInternetSite</b:SourceType>
    <b:Guid>{F9DB9AC9-3C3A-4386-BDDF-713C9D9D3CC6}</b:Guid>
    <b:Author>
      <b:Author>
        <b:Corporate>American Cancer Society</b:Corporate>
      </b:Author>
    </b:Author>
    <b:Title>¿Qué es el cáncer?</b:Title>
    <b:Year>2020</b:Year>
    <b:Month>Noviembre</b:Month>
    <b:Day>20</b:Day>
    <b:URL>https://www.cancer.org/es/tratamiento/como-comprender-su-diagnostico/que-es-el-cancer.html</b:URL>
    <b:RefOrder>41</b:RefOrder>
  </b:Source>
  <b:Source>
    <b:Tag>Han21</b:Tag>
    <b:SourceType>JournalArticle</b:SourceType>
    <b:Guid>{21CAE4BD-CEBA-495C-A207-61E441D28904}</b:Guid>
    <b:Author>
      <b:Author>
        <b:NameList>
          <b:Person>
            <b:Last>Hutter</b:Last>
            <b:First>Hans-Peter</b:First>
          </b:Person>
          <b:Person>
            <b:Last>Poteser</b:Last>
            <b:First>Michael</b:First>
          </b:Person>
          <b:Person>
            <b:Last>Lemmerer</b:Last>
            <b:First>Kathrin</b:First>
          </b:Person>
          <b:Person>
            <b:Last>Wallner</b:Last>
            <b:First>Peter</b:First>
          </b:Person>
          <b:Person>
            <b:Last>Kundi</b:Last>
            <b:First>Michael</b:First>
          </b:Person>
          <b:Person>
            <b:Last>Moshammer</b:Last>
            <b:First>Hanns</b:First>
          </b:Person>
          <b:Person>
            <b:Last>Weitensfelder</b:Last>
            <b:First>Lisbeth</b:First>
          </b:Person>
        </b:NameList>
      </b:Author>
    </b:Author>
    <b:Title>Health Symptoms Related to Pesticide Use in Farmers and Laborers of Ecological and Conventional Banana Plantations in Ecuador</b:Title>
    <b:Year>2021</b:Year>
    <b:JournalName>Int J Environ Res Public Health</b:JournalName>
    <b:RefOrder>42</b:RefOrder>
  </b:Source>
  <b:Source>
    <b:Tag>Mar19</b:Tag>
    <b:SourceType>JournalArticle</b:SourceType>
    <b:Guid>{BB58A609-0495-4D71-AE54-24F0CB46EB76}</b:Guid>
    <b:Author>
      <b:Author>
        <b:NameList>
          <b:Person>
            <b:Last>Leon</b:Last>
            <b:First>Maria</b:First>
            <b:Middle>E</b:Middle>
          </b:Person>
          <b:Person>
            <b:Last>Schinasi</b:Last>
            <b:First>Leah</b:First>
            <b:Middle>H</b:Middle>
          </b:Person>
          <b:Person>
            <b:Last>Lebailly</b:Last>
            <b:First>Pierre</b:First>
          </b:Person>
          <b:Person>
            <b:Last>Freeman</b:Last>
            <b:First>Laura</b:First>
            <b:Middle>E Beane</b:Middle>
          </b:Person>
          <b:Person>
            <b:Last>Nordby</b:Last>
            <b:First>Karl-Christian</b:First>
          </b:Person>
          <b:Person>
            <b:Last>Ferro</b:Last>
            <b:First>Gilles</b:First>
          </b:Person>
          <b:Person>
            <b:Last>Monnereau</b:Last>
            <b:First>Alain</b:First>
          </b:Person>
          <b:Person>
            <b:Last>Brouwer</b:Last>
            <b:First>Maartje</b:First>
          </b:Person>
          <b:Person>
            <b:Last>Tual</b:Last>
            <b:First>Séverine</b:First>
          </b:Person>
          <b:Person>
            <b:Last>Baldi</b:Last>
            <b:First>Isabelle</b:First>
          </b:Person>
          <b:Person>
            <b:Last>Kjaerheim</b:Last>
            <b:First>Kristina</b:First>
          </b:Person>
          <b:Person>
            <b:Last>Hofmann</b:Last>
            <b:First>Jonathan</b:First>
            <b:Middle>N</b:Middle>
          </b:Person>
          <b:Person>
            <b:Last>Kriste</b:Last>
            <b:First>Petter</b:First>
          </b:Person>
        </b:NameList>
      </b:Author>
    </b:Author>
    <b:Title>Pesticide use and risk of non-Hodgkin lymphoid malignancies in agricultural cohorts from France, Norway and the USA: a pooled analysis from the AGRICOH consortium</b:Title>
    <b:JournalName>International Journal of Epidemiology</b:JournalName>
    <b:Year>2019</b:Year>
    <b:RefOrder>43</b:RefOrder>
  </b:Source>
  <b:Source>
    <b:Tag>Ste16</b:Tag>
    <b:SourceType>JournalArticle</b:SourceType>
    <b:Guid>{04153020-06A9-40A0-9178-4D025713B68A}</b:Guid>
    <b:Author>
      <b:Author>
        <b:NameList>
          <b:Person>
            <b:Last>Stella Koutros</b:Last>
            <b:First>Debra</b:First>
            <b:Middle>T Silverman, Michael CR Alavanja, Gabriella Andreotti, Catherine C Lerro</b:Middle>
          </b:Person>
          <b:Person>
            <b:Last>Heltshe</b:Last>
            <b:First>Sonya</b:First>
          </b:Person>
          <b:Person>
            <b:Last>Lynch</b:Last>
            <b:First>Charles</b:First>
            <b:Middle>F</b:Middle>
          </b:Person>
          <b:Person>
            <b:Last>Sandler</b:Last>
            <b:First>Dale</b:First>
            <b:Middle>P</b:Middle>
          </b:Person>
          <b:Person>
            <b:Last>Blair</b:Last>
            <b:First>Aaron</b:First>
          </b:Person>
          <b:Person>
            <b:Last>Freeman</b:Last>
            <b:First>Laura</b:First>
            <b:Middle>E Beane</b:Middle>
          </b:Person>
        </b:NameList>
      </b:Author>
    </b:Author>
    <b:Title>Occupational exposure to pesticides and bladder cancer risk</b:Title>
    <b:JournalName>International Journal of epidemiology</b:JournalName>
    <b:Year>2016</b:Year>
    <b:RefOrder>44</b:RefOrder>
  </b:Source>
  <b:Source>
    <b:Tag>Ame18</b:Tag>
    <b:SourceType>DocumentFromInternetSite</b:SourceType>
    <b:Guid>{1A27239F-FFC2-4FB1-B008-A51A5C333C5A}</b:Guid>
    <b:Title>ACERCA DEL LINFOMA NO HODGKIN</b:Title>
    <b:Year>2018</b:Year>
    <b:Month>Agosto</b:Month>
    <b:Day>1</b:Day>
    <b:URL>https://www.cancer.org/es/cancer/linfoma-no-hodgkin/acerca/que-es-linfoma-no-hodgkin.html</b:URL>
    <b:Author>
      <b:Author>
        <b:Corporate>American Cancer Society</b:Corporate>
      </b:Author>
    </b:Author>
    <b:RefOrder>45</b:RefOrder>
  </b:Source>
  <b:Source>
    <b:Tag>Gil20</b:Tag>
    <b:SourceType>JournalArticle</b:SourceType>
    <b:Guid>{3094268C-BD67-4151-967C-3BE792B2A89E}</b:Guid>
    <b:Author>
      <b:Author>
        <b:NameList>
          <b:Person>
            <b:Last>Gillezeau</b:Last>
            <b:First>Christina</b:First>
          </b:Person>
          <b:Person>
            <b:Last>Lieberman-Cribbin</b:Last>
            <b:First>Wil</b:First>
          </b:Person>
          <b:Person>
            <b:Last>Taioli</b:Last>
            <b:First>Emanuela</b:First>
          </b:Person>
        </b:NameList>
      </b:Author>
    </b:Author>
    <b:Title>Update on human exposure to glyphosate, with a complete review of exposure in children</b:Title>
    <b:Year>2020</b:Year>
    <b:JournalName>Environ Health</b:JournalName>
    <b:RefOrder>46</b:RefOrder>
  </b:Source>
  <b:Source>
    <b:Tag>Man19</b:Tag>
    <b:SourceType>JournalArticle</b:SourceType>
    <b:Guid>{4A71885C-F428-46C8-A9A9-7DC7213FEE53}</b:Guid>
    <b:Author>
      <b:Author>
        <b:NameList>
          <b:Person>
            <b:Last>Pahwa</b:Last>
            <b:First>Manisha</b:First>
          </b:Person>
          <b:Person>
            <b:Last>Freeman</b:Last>
            <b:First>Laura</b:First>
            <b:Middle>E Beane</b:Middle>
          </b:Person>
          <b:Person>
            <b:Last>Spinel</b:Last>
            <b:First>John</b:First>
            <b:Middle>J</b:Middle>
          </b:Person>
          <b:Person>
            <b:Last>Blair</b:Last>
            <b:First>Aaron</b:First>
          </b:Person>
          <b:Person>
            <b:Last>McLaughlin</b:Last>
            <b:First>John</b:First>
            <b:Middle>R</b:Middle>
          </b:Person>
          <b:Person>
            <b:Last>Zahm</b:Last>
            <b:First>Shelia</b:First>
            <b:Middle>Hoar</b:Middle>
          </b:Person>
          <b:Person>
            <b:Last>Cantor</b:Last>
            <b:First>Kenneth</b:First>
            <b:Middle>P</b:Middle>
          </b:Person>
          <b:Person>
            <b:Last>Weisenburger</b:Last>
            <b:First>Dennis</b:First>
            <b:Middle>D</b:Middle>
          </b:Person>
          <b:Person>
            <b:Last>Pahwa</b:Last>
            <b:First>Punam</b:First>
            <b:Middle>Pahwa Punam</b:Middle>
          </b:Person>
          <b:Person>
            <b:Last>Dosman</b:Last>
            <b:First>James</b:First>
            <b:Middle>A</b:Middle>
          </b:Person>
          <b:Person>
            <b:Last>Demers</b:Last>
            <b:First>Paul</b:First>
            <b:Middle>A</b:Middle>
          </b:Person>
          <b:Person>
            <b:Last>Harris</b:Last>
            <b:First>Shelley</b:First>
            <b:Middle>A</b:Middle>
          </b:Person>
        </b:NameList>
      </b:Author>
    </b:Author>
    <b:Title>Glyphosate use and associations with non-Hodgkin lymphoma major histological sub-types: findings from the North American Pooled Project</b:Title>
    <b:JournalName>Scand J Work Environ Health</b:JournalName>
    <b:Year>2019</b:Year>
    <b:RefOrder>47</b:RefOrder>
  </b:Source>
  <b:Source>
    <b:Tag>Bup20</b:Tag>
    <b:SourceType>InternetSite</b:SourceType>
    <b:Guid>{78431D34-295C-4AD0-A31D-4BB4C9638526}</b:Guid>
    <b:Title>Sistema cardiovascular </b:Title>
    <b:Year>2020</b:Year>
    <b:Author>
      <b:Author>
        <b:Corporate>Bupa</b:Corporate>
      </b:Author>
    </b:Author>
    <b:URL>https://www.bupasalud.com.co/salud/sistema-cardiovascular</b:URL>
    <b:RefOrder>48</b:RefOrder>
  </b:Source>
  <b:Source>
    <b:Tag>Med22</b:Tag>
    <b:SourceType>InternetSite</b:SourceType>
    <b:Guid>{D7D1011C-DC5A-4BF8-921A-1A7237D5CDE5}</b:Guid>
    <b:Author>
      <b:Author>
        <b:Corporate>MedlinePlus</b:Corporate>
      </b:Author>
    </b:Author>
    <b:Title>Qué es la enfermedad cardiovascular</b:Title>
    <b:Year>2022</b:Year>
    <b:Month>2</b:Month>
    <b:Day>23</b:Day>
    <b:RefOrder>49</b:RefOrder>
  </b:Source>
  <b:Source>
    <b:Tag>LaR22</b:Tag>
    <b:SourceType>InternetSite</b:SourceType>
    <b:Guid>{ACD3D648-8B84-4C09-AC15-D4CBAF97C797}</b:Guid>
    <b:Author>
      <b:Author>
        <b:Corporate>La Rioja</b:Corporate>
      </b:Author>
    </b:Author>
    <b:Title>Enfermedades cardiovasculares</b:Title>
    <b:Year>2022</b:Year>
    <b:URL>https://www.riojasalud.es/servicios/cardiologia/articulos/enfermedades-cardiovasculares</b:URL>
    <b:RefOrder>50</b:RefOrder>
  </b:Source>
  <b:Source>
    <b:Tag>KSM21</b:Tag>
    <b:SourceType>JournalArticle</b:SourceType>
    <b:Guid>{C0A0774D-06AB-410B-8690-8AA9A4E2A53A}</b:Guid>
    <b:Title>Occupational Paraquat and Glyphosate Exposure May Decline Renal Functions among Rural Farming Communities in Sri Lanka</b:Title>
    <b:Year>2021</b:Year>
    <b:Author>
      <b:Author>
        <b:NameList>
          <b:Person>
            <b:Last>Abdul</b:Last>
            <b:First>K.S.M.</b:First>
          </b:Person>
          <b:Person>
            <b:Last>Silva</b:Last>
            <b:First>P.</b:First>
            <b:Middle>Mangala C.S. De</b:Middle>
          </b:Person>
          <b:Person>
            <b:Last>Ekanayake</b:Last>
            <b:First>E.M.D.V.</b:First>
          </b:Person>
          <b:Person>
            <b:Last>Thakshila</b:Last>
            <b:First>W.A.K.G.</b:First>
          </b:Person>
          <b:Person>
            <b:Last>Gunarathna</b:Last>
            <b:First>S.D.</b:First>
          </b:Person>
          <b:Person>
            <b:Last>Gunasekara</b:Last>
            <b:First>T.D.K.S.C.</b:First>
          </b:Person>
          <b:Person>
            <b:Last>Jayasinghe</b:Last>
            <b:First>S.S.</b:First>
          </b:Person>
          <b:Person>
            <b:Last>Asanthi</b:Last>
            <b:First>H.B.</b:First>
          </b:Person>
          <b:Person>
            <b:Last>Chandana</b:Last>
            <b:First>E.P.S.</b:First>
          </b:Person>
          <b:Person>
            <b:Last>Chaminda</b:Last>
            <b:First>G.G.T.</b:First>
          </b:Person>
          <b:Person>
            <b:Last>Siribaddana</b:Last>
            <b:First>S.H.</b:First>
          </b:Person>
          <b:Person>
            <b:Last>Jayasundara</b:Last>
            <b:First>Nishad</b:First>
          </b:Person>
        </b:NameList>
      </b:Author>
    </b:Author>
    <b:JournalName>Int J Environ Res Public Health</b:JournalName>
    <b:RefOrder>51</b:RefOrder>
  </b:Source>
  <b:Source>
    <b:Tag>Pat20</b:Tag>
    <b:SourceType>JournalArticle</b:SourceType>
    <b:Guid>{689A1725-DA32-4320-AB8E-1821202FAAED}</b:Guid>
    <b:Author>
      <b:Author>
        <b:NameList>
          <b:Person>
            <b:Last>Amoatey</b:Last>
            <b:First>Patrick</b:First>
          </b:Person>
          <b:Person>
            <b:Last>Al-Mayahi</b:Last>
            <b:First>Ahmed</b:First>
          </b:Person>
          <b:Person>
            <b:Last>Omidvarborna</b:Last>
            <b:First>Hamid</b:First>
          </b:Person>
          <b:Person>
            <b:Last>Baawain</b:Last>
            <b:First>Mahad</b:First>
            <b:Middle>Said</b:Middle>
          </b:Person>
          <b:Person>
            <b:Last>Sulaiman</b:Last>
            <b:First>Hameed</b:First>
          </b:Person>
        </b:NameList>
      </b:Author>
    </b:Author>
    <b:Title>Occupational exposure to pesticides and associated health effects among greenhouse farm workers</b:Title>
    <b:JournalName>Environmental Science and Pollution Research</b:JournalName>
    <b:Year>2020</b:Year>
    <b:RefOrder>52</b:RefOrder>
  </b:Source>
  <b:Source>
    <b:Tag>Sri18</b:Tag>
    <b:SourceType>JournalArticle</b:SourceType>
    <b:Guid>{70AE6879-2BD9-4B4B-BA08-14C555AE168B}</b:Guid>
    <b:Title>Pesticide Use and Incident Hypothyroidism in Pesticide Applicators in the Agricultural Health Study</b:Title>
    <b:JournalName>Environ Health Perspect</b:JournalName>
    <b:Year>2018</b:Year>
    <b:Author>
      <b:Author>
        <b:NameList>
          <b:Person>
            <b:Last>Shrestha</b:Last>
            <b:First>Srishti</b:First>
          </b:Person>
          <b:Person>
            <b:Last>Parks</b:Last>
            <b:First>Christine</b:First>
            <b:Middle>G</b:Middle>
          </b:Person>
          <b:Person>
            <b:Last>Goldner</b:Last>
            <b:First>Whitney</b:First>
            <b:Middle>S</b:Middle>
          </b:Person>
          <b:Person>
            <b:Last>Kamel</b:Last>
            <b:First>Freya</b:First>
          </b:Person>
          <b:Person>
            <b:Last>Umbach</b:Last>
            <b:First>David</b:First>
            <b:Middle>M</b:Middle>
          </b:Person>
          <b:Person>
            <b:Last>Ward</b:Last>
            <b:First>Mary</b:First>
            <b:Middle>H</b:Middle>
          </b:Person>
          <b:Person>
            <b:Last>Lerro</b:Last>
            <b:First>Catherine</b:First>
            <b:Middle>C</b:Middle>
          </b:Person>
          <b:Person>
            <b:Last>Koutros</b:Last>
            <b:First>Stella</b:First>
          </b:Person>
          <b:Person>
            <b:Last>Hofmann</b:Last>
            <b:First>Jonathan</b:First>
            <b:Middle>N</b:Middle>
          </b:Person>
          <b:Person>
            <b:Last>Freeman</b:Last>
            <b:First>Laura</b:First>
            <b:Middle>E Beane</b:Middle>
          </b:Person>
          <b:Person>
            <b:Last>Sandler</b:Last>
            <b:First>Dale</b:First>
            <b:Middle>P</b:Middle>
          </b:Person>
        </b:NameList>
      </b:Author>
    </b:Author>
    <b:RefOrder>53</b:RefOrder>
  </b:Source>
  <b:Source>
    <b:Tag>OPS22</b:Tag>
    <b:SourceType>InternetSite</b:SourceType>
    <b:Guid>{4DD61A5C-7647-4EAA-90FA-94926E8A48EE}</b:Guid>
    <b:Title>Día Mundial de la Hipertensión 2022</b:Title>
    <b:Year>2022</b:Year>
    <b:Author>
      <b:Author>
        <b:Corporate>OPS </b:Corporate>
      </b:Author>
    </b:Author>
    <b:URL>https://www.paho.org/es/campanas/dia-mundial-hipertension-2022#:~:text=La%20enfermedad%20cardiovascular%20(ECV)%20es,del%2050%25%20de%20las%20ECV</b:URL>
    <b:RefOrder>54</b:RefOrder>
  </b:Source>
  <b:Source>
    <b:Tag>Med221</b:Tag>
    <b:SourceType>InternetSite</b:SourceType>
    <b:Guid>{F5A2757F-09A4-460B-A88D-FB2B3E0D0CFF}</b:Guid>
    <b:Author>
      <b:Author>
        <b:Corporate>MedlinePlus</b:Corporate>
      </b:Author>
    </b:Author>
    <b:Title>Hipertensión arterial - adultos</b:Title>
    <b:Year>2022</b:Year>
    <b:Month>2</b:Month>
    <b:Day>23</b:Day>
    <b:URL>https://medlineplus.gov/spanish/ency/article/000468.htm</b:URL>
    <b:RefOrder>55</b:RefOrder>
  </b:Source>
  <b:Source>
    <b:Tag>LEY18</b:Tag>
    <b:SourceType>JournalArticle</b:SourceType>
    <b:Guid>{A4EDCD1E-9BD9-4229-BA70-64E82E345D91}</b:Guid>
    <b:Author>
      <b:Author>
        <b:NameList>
          <b:Person>
            <b:Last>LEYVA-SOTO</b:Last>
            <b:First>L.</b:First>
            <b:Middle>A.</b:Middle>
          </b:Person>
          <b:Person>
            <b:Last>A. P</b:Last>
            <b:First>BALDERRAMA-CARMONA</b:First>
          </b:Person>
          <b:Person>
            <b:Last>MORAN-PALACIO</b:Last>
            <b:First>E.</b:First>
            <b:Middle>F</b:Middle>
          </b:Person>
          <b:Person>
            <b:Last>TENORIO</b:Last>
            <b:First>L.</b:First>
            <b:Middle>DIAZ</b:Middle>
          </b:Person>
          <b:Person>
            <b:Last>MGORTARES-MOROYOQUI</b:Last>
            <b:First>P.</b:First>
          </b:Person>
        </b:NameList>
      </b:Author>
    </b:Author>
    <b:Title>GLYPHOSATE AND AMINOMETHYLPHOSPHONIC ACID IN</b:Title>
    <b:Year>2018</b:Year>
    <b:JournalName>Applied Ecology and Environmental Research</b:JournalName>
    <b:RefOrder>56</b:RefOrder>
  </b:Source>
  <b:Source>
    <b:Tag>Ley18</b:Tag>
    <b:SourceType>JournalArticle</b:SourceType>
    <b:Guid>{5E5FC100-269D-43D6-BA48-E1DE019EF3F9}</b:Guid>
    <b:Author>
      <b:Author>
        <b:NameList>
          <b:Person>
            <b:Last>Leyva-Soto</b:Last>
            <b:First>LA</b:First>
          </b:Person>
          <b:Person>
            <b:Last>Balderrama-Carmona</b:Last>
            <b:First>AP</b:First>
          </b:Person>
          <b:Person>
            <b:Last>Moran-Palacio</b:Last>
            <b:First>EF</b:First>
          </b:Person>
          <b:Person>
            <b:Last>Diaz-Tenorio</b:Last>
            <b:First>LM</b:First>
          </b:Person>
          <b:Person>
            <b:Last>Gortares-Moroyoqui</b:Last>
            <b:First>P</b:First>
          </b:Person>
        </b:NameList>
      </b:Author>
    </b:Author>
    <b:Title>GLYPHOSATE AND AMINOMETHYLPHOSPHONIC ACID IN POPULATION OF AGRICULTURAL FIELDS: HEALTH RISK ASSESSMENT OVERVIEW</b:Title>
    <b:JournalName>Applied Ecology and Environmental Research</b:JournalName>
    <b:Year>2018</b:Year>
    <b:RefOrder>57</b:RefOrder>
  </b:Source>
  <b:Source>
    <b:Tag>Yai14</b:Tag>
    <b:SourceType>Misc</b:SourceType>
    <b:Guid>{3653B82E-17E2-441A-8891-897879419947}</b:Guid>
    <b:Title>Respiratory apparatus and pathologies associated with respiratory function: asthma</b:Title>
    <b:Year>2014</b:Year>
    <b:City>Cabtabria</b:City>
    <b:Author>
      <b:Author>
        <b:NameList>
          <b:Person>
            <b:Last>Diego</b:Last>
            <b:First>Yaiza</b:First>
            <b:Middle>Arce</b:Middle>
          </b:Person>
        </b:NameList>
      </b:Author>
    </b:Author>
    <b:RefOrder>58</b:RefOrder>
  </b:Source>
  <b:Source>
    <b:Tag>Cli22</b:Tag>
    <b:SourceType>InternetSite</b:SourceType>
    <b:Guid>{F08174E5-134B-4ACC-9E8D-0CA941DA0529}</b:Guid>
    <b:Author>
      <b:Author>
        <b:Corporate>Clinica Mayo</b:Corporate>
      </b:Author>
    </b:Author>
    <b:Title>Dificultad para respirar</b:Title>
    <b:Year>2022</b:Year>
    <b:URL>https://www.mayoclinic.org/es-es/symptoms/shortness-of-breath/basics/definition/sym-20050890?reDate=12082022</b:URL>
    <b:RefOrder>59</b:RefOrder>
  </b:Source>
  <b:Source>
    <b:Tag>Por21</b:Tag>
    <b:SourceType>JournalArticle</b:SourceType>
    <b:Guid>{F6A8E003-6819-49A4-9CCC-F2880E096F85}</b:Guid>
    <b:Title>Acute Changes in Thyroid Hormone Levels among Thai Pesticide Sprayers</b:Title>
    <b:Year>2021</b:Year>
    <b:Author>
      <b:Author>
        <b:NameList>
          <b:Person>
            <b:Last>Kongtip</b:Last>
            <b:First>Pornpimol</b:First>
          </b:Person>
          <b:Person>
            <b:Last>Nankongnab</b:Last>
            <b:First>Noppanun</b:First>
          </b:Person>
          <b:Person>
            <b:Last>Pundee</b:Last>
            <b:First>Ritthirong</b:First>
          </b:Person>
          <b:Person>
            <b:Last>Kallayanatham</b:Last>
            <b:First>Nichcha</b:First>
          </b:Person>
          <b:Person>
            <b:Last>Pengpumkiat</b:Last>
            <b:First>Sumate</b:First>
          </b:Person>
          <b:Person>
            <b:Last>Chungcharoen</b:Last>
            <b:First>Jutamanee</b:First>
          </b:Person>
          <b:Person>
            <b:Last>Phommalachai</b:Last>
            <b:First>Chavisa</b:First>
          </b:Person>
          <b:Person>
            <b:Last>Konthonbut</b:Last>
            <b:First>Pajaree</b:First>
          </b:Person>
          <b:Person>
            <b:Last>Choochouy</b:Last>
            <b:First>Nattagorn</b:First>
          </b:Person>
          <b:Person>
            <b:Last>Sowanthip</b:Last>
            <b:First>Preecha</b:First>
          </b:Person>
          <b:Person>
            <b:Last>Khangkhun</b:Last>
            <b:First>Phanthawee</b:First>
          </b:Person>
        </b:NameList>
      </b:Author>
    </b:Author>
    <b:JournalName>Toxics</b:JournalName>
    <b:RefOrder>60</b:RefOrder>
  </b:Source>
  <b:Source>
    <b:Tag>Son20</b:Tag>
    <b:SourceType>JournalArticle</b:SourceType>
    <b:Guid>{3388873F-EDDF-48D7-985D-179AF1A86F5F}</b:Guid>
    <b:Author>
      <b:Author>
        <b:NameList>
          <b:Person>
            <b:Last>Díaz-Criollo</b:Last>
            <b:First>Sonia</b:First>
          </b:Person>
          <b:Person>
            <b:Last>Palma</b:Last>
            <b:First>Marien</b:First>
          </b:Person>
          <b:Person>
            <b:Last>Monroy-García</b:Last>
            <b:First>Andrés</b:First>
            <b:Middle>A</b:Middle>
          </b:Person>
          <b:Person>
            <b:Last>Idrovo</b:Last>
            <b:First>Alvaro</b:First>
            <b:Middle>J</b:Middle>
          </b:Person>
          <b:Person>
            <b:Last>Combariza</b:Last>
            <b:First>David</b:First>
          </b:Person>
          <b:Person>
            <b:Last>Varona-Uribe</b:Last>
            <b:First>Marcela</b:First>
            <b:Middle>E</b:Middle>
          </b:Person>
        </b:NameList>
      </b:Author>
    </b:Author>
    <b:Title>Chronic pesticide mixture exposure including paraquat and respiratory outcomes among Colombian farmers</b:Title>
    <b:JournalName>Industrial Health</b:JournalName>
    <b:Year>2020</b:Year>
    <b:RefOrder>61</b:RefOrder>
  </b:Source>
  <b:Source>
    <b:Tag>Min12</b:Tag>
    <b:SourceType>InternetSite</b:SourceType>
    <b:Guid>{E74C0ECB-F997-46A9-B0B1-7977098D79F5}</b:Guid>
    <b:Title>Enfermedad laboral</b:Title>
    <b:Year>2012</b:Year>
    <b:Author>
      <b:Author>
        <b:Corporate>Ministerio de Trabajo</b:Corporate>
      </b:Author>
    </b:Author>
    <b:URL>minsalud.gov.co/proteccionsocial/RiesgosLaborales/Paginas/enfermedad-laboral.aspx#:~:text=Es%20enfermedad%20laboral%20la%20contraída,ha%20visto%20obligado%20a%20trabajar.</b:URL>
    <b:RefOrder>62</b:RefOrder>
  </b:Source>
  <b:Source>
    <b:Tag>MarcadorDePosición1</b:Tag>
    <b:SourceType>InternetSite</b:SourceType>
    <b:Guid>{DB6B2CA9-D7E8-431A-A783-776C8344F117}</b:Guid>
    <b:Author>
      <b:Author>
        <b:Corporate>Ministerio Trabajo  </b:Corporate>
      </b:Author>
    </b:Author>
    <b:Title>Decreto 676 de 2020</b:Title>
    <b:Year>2020</b:Year>
    <b:Month>Mayo</b:Month>
    <b:Day>2019</b:Day>
    <b:RefOrder>63</b:RefOrder>
  </b:Source>
  <b:Source>
    <b:Tag>Con14</b:Tag>
    <b:SourceType>InternetSite</b:SourceType>
    <b:Guid>{14CD8FAE-2A7D-4C0B-B033-D237C46DEC37}</b:Guid>
    <b:Author>
      <b:Author>
        <b:Corporate>ConsultorSalud</b:Corporate>
      </b:Author>
    </b:Author>
    <b:Title>Nueva Tabla De Enfermedades Laborales Decreto 1477 de 2014</b:Title>
    <b:Year>2014</b:Year>
    <b:Month>Agosto</b:Month>
    <b:Day>13</b:Day>
    <b:URL>https://consultorsalud.com/nueva-tabla-de-enfermedades-laborales-decreto-1477-de-2014/</b:URL>
    <b:RefOrder>64</b:RefOrder>
  </b:Source>
  <b:Source>
    <b:Tag>May22</b:Tag>
    <b:SourceType>DocumentFromInternetSite</b:SourceType>
    <b:Guid>{C620BDC9-AF28-45A1-8A2E-1C62F3CAF725}</b:Guid>
    <b:Title>Diabetes</b:Title>
    <b:Year>2022</b:Year>
    <b:Author>
      <b:Author>
        <b:Corporate>Clinica Mayo </b:Corporate>
      </b:Author>
    </b:Author>
    <b:Month>Agosto</b:Month>
    <b:Day>2</b:Day>
    <b:URL>https://www.mayoclinic.org/diseases-conditions/diabetes/symptoms-causes/syc-20371444</b:URL>
    <b:RefOrder>65</b:RefOrder>
  </b:Source>
  <b:Source>
    <b:Tag>Mig14</b:Tag>
    <b:SourceType>Book</b:SourceType>
    <b:Guid>{747FEB23-5086-4039-B652-71596B5750A7}</b:Guid>
    <b:Author>
      <b:Author>
        <b:NameList>
          <b:Person>
            <b:Last>Gómez</b:Last>
            <b:First>Miguel</b:First>
            <b:Middle>Fernández</b:Middle>
          </b:Person>
        </b:NameList>
      </b:Author>
    </b:Author>
    <b:Title>Lean Manufacturing En Español: Cómo eliminar desperdicios e incrementar ganancias</b:Title>
    <b:Year>2014</b:Year>
    <b:City>Estados Unidos de América</b:City>
    <b:Publisher>Editorial Imagen</b:Publisher>
    <b:RefOrder>1</b:RefOrder>
  </b:Source>
</b:Sources>
</file>

<file path=customXml/itemProps1.xml><?xml version="1.0" encoding="utf-8"?>
<ds:datastoreItem xmlns:ds="http://schemas.openxmlformats.org/officeDocument/2006/customXml" ds:itemID="{7E8F1211-6F41-4EAA-B127-16075A5896C3}">
  <ds:schemaRefs>
    <ds:schemaRef ds:uri="http://schemas.microsoft.com/sharepoint/v3/contenttype/forms"/>
  </ds:schemaRefs>
</ds:datastoreItem>
</file>

<file path=customXml/itemProps2.xml><?xml version="1.0" encoding="utf-8"?>
<ds:datastoreItem xmlns:ds="http://schemas.openxmlformats.org/officeDocument/2006/customXml" ds:itemID="{ED4BA3B5-0EEE-4AFD-99ED-46D9759EEF0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D9CC79E-8B3B-4865-98D6-A200F86241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2839e30-b657-4a2a-9d94-581be8359a24"/>
    <ds:schemaRef ds:uri="c5e9d6c6-1d7b-4e39-ad92-d6d0949f00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B6E4456-B854-440A-B54F-84120E1D93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43</Pages>
  <Words>15256</Words>
  <Characters>83911</Characters>
  <Application>Microsoft Office Word</Application>
  <DocSecurity>0</DocSecurity>
  <Lines>699</Lines>
  <Paragraphs>197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98970</CharactersWithSpaces>
  <SharedDoc>false</SharedDoc>
  <HLinks>
    <vt:vector size="318" baseType="variant">
      <vt:variant>
        <vt:i4>2949247</vt:i4>
      </vt:variant>
      <vt:variant>
        <vt:i4>390</vt:i4>
      </vt:variant>
      <vt:variant>
        <vt:i4>0</vt:i4>
      </vt:variant>
      <vt:variant>
        <vt:i4>5</vt:i4>
      </vt:variant>
      <vt:variant>
        <vt:lpwstr>https://www.larepublica.co/finanzas/al-nuevo-indice-de-la-bolsa-de-valores-msci-colcap-llega-el-grupo-bolivar-y-sale-exito-3177066</vt:lpwstr>
      </vt:variant>
      <vt:variant>
        <vt:lpwstr/>
      </vt:variant>
      <vt:variant>
        <vt:i4>1179703</vt:i4>
      </vt:variant>
      <vt:variant>
        <vt:i4>314</vt:i4>
      </vt:variant>
      <vt:variant>
        <vt:i4>0</vt:i4>
      </vt:variant>
      <vt:variant>
        <vt:i4>5</vt:i4>
      </vt:variant>
      <vt:variant>
        <vt:lpwstr/>
      </vt:variant>
      <vt:variant>
        <vt:lpwstr>_Toc116420208</vt:lpwstr>
      </vt:variant>
      <vt:variant>
        <vt:i4>1179703</vt:i4>
      </vt:variant>
      <vt:variant>
        <vt:i4>308</vt:i4>
      </vt:variant>
      <vt:variant>
        <vt:i4>0</vt:i4>
      </vt:variant>
      <vt:variant>
        <vt:i4>5</vt:i4>
      </vt:variant>
      <vt:variant>
        <vt:lpwstr/>
      </vt:variant>
      <vt:variant>
        <vt:lpwstr>_Toc116420207</vt:lpwstr>
      </vt:variant>
      <vt:variant>
        <vt:i4>1179703</vt:i4>
      </vt:variant>
      <vt:variant>
        <vt:i4>302</vt:i4>
      </vt:variant>
      <vt:variant>
        <vt:i4>0</vt:i4>
      </vt:variant>
      <vt:variant>
        <vt:i4>5</vt:i4>
      </vt:variant>
      <vt:variant>
        <vt:lpwstr/>
      </vt:variant>
      <vt:variant>
        <vt:lpwstr>_Toc116420206</vt:lpwstr>
      </vt:variant>
      <vt:variant>
        <vt:i4>1179703</vt:i4>
      </vt:variant>
      <vt:variant>
        <vt:i4>296</vt:i4>
      </vt:variant>
      <vt:variant>
        <vt:i4>0</vt:i4>
      </vt:variant>
      <vt:variant>
        <vt:i4>5</vt:i4>
      </vt:variant>
      <vt:variant>
        <vt:lpwstr/>
      </vt:variant>
      <vt:variant>
        <vt:lpwstr>_Toc116420205</vt:lpwstr>
      </vt:variant>
      <vt:variant>
        <vt:i4>1179703</vt:i4>
      </vt:variant>
      <vt:variant>
        <vt:i4>290</vt:i4>
      </vt:variant>
      <vt:variant>
        <vt:i4>0</vt:i4>
      </vt:variant>
      <vt:variant>
        <vt:i4>5</vt:i4>
      </vt:variant>
      <vt:variant>
        <vt:lpwstr/>
      </vt:variant>
      <vt:variant>
        <vt:lpwstr>_Toc116420204</vt:lpwstr>
      </vt:variant>
      <vt:variant>
        <vt:i4>1179703</vt:i4>
      </vt:variant>
      <vt:variant>
        <vt:i4>284</vt:i4>
      </vt:variant>
      <vt:variant>
        <vt:i4>0</vt:i4>
      </vt:variant>
      <vt:variant>
        <vt:i4>5</vt:i4>
      </vt:variant>
      <vt:variant>
        <vt:lpwstr/>
      </vt:variant>
      <vt:variant>
        <vt:lpwstr>_Toc116420203</vt:lpwstr>
      </vt:variant>
      <vt:variant>
        <vt:i4>1179703</vt:i4>
      </vt:variant>
      <vt:variant>
        <vt:i4>278</vt:i4>
      </vt:variant>
      <vt:variant>
        <vt:i4>0</vt:i4>
      </vt:variant>
      <vt:variant>
        <vt:i4>5</vt:i4>
      </vt:variant>
      <vt:variant>
        <vt:lpwstr/>
      </vt:variant>
      <vt:variant>
        <vt:lpwstr>_Toc116420202</vt:lpwstr>
      </vt:variant>
      <vt:variant>
        <vt:i4>1179703</vt:i4>
      </vt:variant>
      <vt:variant>
        <vt:i4>272</vt:i4>
      </vt:variant>
      <vt:variant>
        <vt:i4>0</vt:i4>
      </vt:variant>
      <vt:variant>
        <vt:i4>5</vt:i4>
      </vt:variant>
      <vt:variant>
        <vt:lpwstr/>
      </vt:variant>
      <vt:variant>
        <vt:lpwstr>_Toc116420201</vt:lpwstr>
      </vt:variant>
      <vt:variant>
        <vt:i4>1179703</vt:i4>
      </vt:variant>
      <vt:variant>
        <vt:i4>266</vt:i4>
      </vt:variant>
      <vt:variant>
        <vt:i4>0</vt:i4>
      </vt:variant>
      <vt:variant>
        <vt:i4>5</vt:i4>
      </vt:variant>
      <vt:variant>
        <vt:lpwstr/>
      </vt:variant>
      <vt:variant>
        <vt:lpwstr>_Toc116420200</vt:lpwstr>
      </vt:variant>
      <vt:variant>
        <vt:i4>1769524</vt:i4>
      </vt:variant>
      <vt:variant>
        <vt:i4>260</vt:i4>
      </vt:variant>
      <vt:variant>
        <vt:i4>0</vt:i4>
      </vt:variant>
      <vt:variant>
        <vt:i4>5</vt:i4>
      </vt:variant>
      <vt:variant>
        <vt:lpwstr/>
      </vt:variant>
      <vt:variant>
        <vt:lpwstr>_Toc116420199</vt:lpwstr>
      </vt:variant>
      <vt:variant>
        <vt:i4>1769524</vt:i4>
      </vt:variant>
      <vt:variant>
        <vt:i4>254</vt:i4>
      </vt:variant>
      <vt:variant>
        <vt:i4>0</vt:i4>
      </vt:variant>
      <vt:variant>
        <vt:i4>5</vt:i4>
      </vt:variant>
      <vt:variant>
        <vt:lpwstr/>
      </vt:variant>
      <vt:variant>
        <vt:lpwstr>_Toc116420198</vt:lpwstr>
      </vt:variant>
      <vt:variant>
        <vt:i4>1769524</vt:i4>
      </vt:variant>
      <vt:variant>
        <vt:i4>245</vt:i4>
      </vt:variant>
      <vt:variant>
        <vt:i4>0</vt:i4>
      </vt:variant>
      <vt:variant>
        <vt:i4>5</vt:i4>
      </vt:variant>
      <vt:variant>
        <vt:lpwstr/>
      </vt:variant>
      <vt:variant>
        <vt:lpwstr>_Toc116420197</vt:lpwstr>
      </vt:variant>
      <vt:variant>
        <vt:i4>1769524</vt:i4>
      </vt:variant>
      <vt:variant>
        <vt:i4>239</vt:i4>
      </vt:variant>
      <vt:variant>
        <vt:i4>0</vt:i4>
      </vt:variant>
      <vt:variant>
        <vt:i4>5</vt:i4>
      </vt:variant>
      <vt:variant>
        <vt:lpwstr/>
      </vt:variant>
      <vt:variant>
        <vt:lpwstr>_Toc116420196</vt:lpwstr>
      </vt:variant>
      <vt:variant>
        <vt:i4>1769524</vt:i4>
      </vt:variant>
      <vt:variant>
        <vt:i4>233</vt:i4>
      </vt:variant>
      <vt:variant>
        <vt:i4>0</vt:i4>
      </vt:variant>
      <vt:variant>
        <vt:i4>5</vt:i4>
      </vt:variant>
      <vt:variant>
        <vt:lpwstr/>
      </vt:variant>
      <vt:variant>
        <vt:lpwstr>_Toc116420195</vt:lpwstr>
      </vt:variant>
      <vt:variant>
        <vt:i4>1769524</vt:i4>
      </vt:variant>
      <vt:variant>
        <vt:i4>227</vt:i4>
      </vt:variant>
      <vt:variant>
        <vt:i4>0</vt:i4>
      </vt:variant>
      <vt:variant>
        <vt:i4>5</vt:i4>
      </vt:variant>
      <vt:variant>
        <vt:lpwstr/>
      </vt:variant>
      <vt:variant>
        <vt:lpwstr>_Toc116420194</vt:lpwstr>
      </vt:variant>
      <vt:variant>
        <vt:i4>1769524</vt:i4>
      </vt:variant>
      <vt:variant>
        <vt:i4>221</vt:i4>
      </vt:variant>
      <vt:variant>
        <vt:i4>0</vt:i4>
      </vt:variant>
      <vt:variant>
        <vt:i4>5</vt:i4>
      </vt:variant>
      <vt:variant>
        <vt:lpwstr/>
      </vt:variant>
      <vt:variant>
        <vt:lpwstr>_Toc116420193</vt:lpwstr>
      </vt:variant>
      <vt:variant>
        <vt:i4>1245235</vt:i4>
      </vt:variant>
      <vt:variant>
        <vt:i4>212</vt:i4>
      </vt:variant>
      <vt:variant>
        <vt:i4>0</vt:i4>
      </vt:variant>
      <vt:variant>
        <vt:i4>5</vt:i4>
      </vt:variant>
      <vt:variant>
        <vt:lpwstr/>
      </vt:variant>
      <vt:variant>
        <vt:lpwstr>_Toc119685369</vt:lpwstr>
      </vt:variant>
      <vt:variant>
        <vt:i4>1245235</vt:i4>
      </vt:variant>
      <vt:variant>
        <vt:i4>206</vt:i4>
      </vt:variant>
      <vt:variant>
        <vt:i4>0</vt:i4>
      </vt:variant>
      <vt:variant>
        <vt:i4>5</vt:i4>
      </vt:variant>
      <vt:variant>
        <vt:lpwstr/>
      </vt:variant>
      <vt:variant>
        <vt:lpwstr>_Toc119685368</vt:lpwstr>
      </vt:variant>
      <vt:variant>
        <vt:i4>1245235</vt:i4>
      </vt:variant>
      <vt:variant>
        <vt:i4>200</vt:i4>
      </vt:variant>
      <vt:variant>
        <vt:i4>0</vt:i4>
      </vt:variant>
      <vt:variant>
        <vt:i4>5</vt:i4>
      </vt:variant>
      <vt:variant>
        <vt:lpwstr/>
      </vt:variant>
      <vt:variant>
        <vt:lpwstr>_Toc119685367</vt:lpwstr>
      </vt:variant>
      <vt:variant>
        <vt:i4>1245235</vt:i4>
      </vt:variant>
      <vt:variant>
        <vt:i4>194</vt:i4>
      </vt:variant>
      <vt:variant>
        <vt:i4>0</vt:i4>
      </vt:variant>
      <vt:variant>
        <vt:i4>5</vt:i4>
      </vt:variant>
      <vt:variant>
        <vt:lpwstr/>
      </vt:variant>
      <vt:variant>
        <vt:lpwstr>_Toc119685366</vt:lpwstr>
      </vt:variant>
      <vt:variant>
        <vt:i4>1245235</vt:i4>
      </vt:variant>
      <vt:variant>
        <vt:i4>188</vt:i4>
      </vt:variant>
      <vt:variant>
        <vt:i4>0</vt:i4>
      </vt:variant>
      <vt:variant>
        <vt:i4>5</vt:i4>
      </vt:variant>
      <vt:variant>
        <vt:lpwstr/>
      </vt:variant>
      <vt:variant>
        <vt:lpwstr>_Toc119685365</vt:lpwstr>
      </vt:variant>
      <vt:variant>
        <vt:i4>1245235</vt:i4>
      </vt:variant>
      <vt:variant>
        <vt:i4>182</vt:i4>
      </vt:variant>
      <vt:variant>
        <vt:i4>0</vt:i4>
      </vt:variant>
      <vt:variant>
        <vt:i4>5</vt:i4>
      </vt:variant>
      <vt:variant>
        <vt:lpwstr/>
      </vt:variant>
      <vt:variant>
        <vt:lpwstr>_Toc119685364</vt:lpwstr>
      </vt:variant>
      <vt:variant>
        <vt:i4>1245235</vt:i4>
      </vt:variant>
      <vt:variant>
        <vt:i4>176</vt:i4>
      </vt:variant>
      <vt:variant>
        <vt:i4>0</vt:i4>
      </vt:variant>
      <vt:variant>
        <vt:i4>5</vt:i4>
      </vt:variant>
      <vt:variant>
        <vt:lpwstr/>
      </vt:variant>
      <vt:variant>
        <vt:lpwstr>_Toc119685363</vt:lpwstr>
      </vt:variant>
      <vt:variant>
        <vt:i4>1245235</vt:i4>
      </vt:variant>
      <vt:variant>
        <vt:i4>170</vt:i4>
      </vt:variant>
      <vt:variant>
        <vt:i4>0</vt:i4>
      </vt:variant>
      <vt:variant>
        <vt:i4>5</vt:i4>
      </vt:variant>
      <vt:variant>
        <vt:lpwstr/>
      </vt:variant>
      <vt:variant>
        <vt:lpwstr>_Toc119685362</vt:lpwstr>
      </vt:variant>
      <vt:variant>
        <vt:i4>1245235</vt:i4>
      </vt:variant>
      <vt:variant>
        <vt:i4>164</vt:i4>
      </vt:variant>
      <vt:variant>
        <vt:i4>0</vt:i4>
      </vt:variant>
      <vt:variant>
        <vt:i4>5</vt:i4>
      </vt:variant>
      <vt:variant>
        <vt:lpwstr/>
      </vt:variant>
      <vt:variant>
        <vt:lpwstr>_Toc119685361</vt:lpwstr>
      </vt:variant>
      <vt:variant>
        <vt:i4>1245235</vt:i4>
      </vt:variant>
      <vt:variant>
        <vt:i4>158</vt:i4>
      </vt:variant>
      <vt:variant>
        <vt:i4>0</vt:i4>
      </vt:variant>
      <vt:variant>
        <vt:i4>5</vt:i4>
      </vt:variant>
      <vt:variant>
        <vt:lpwstr/>
      </vt:variant>
      <vt:variant>
        <vt:lpwstr>_Toc119685360</vt:lpwstr>
      </vt:variant>
      <vt:variant>
        <vt:i4>1048627</vt:i4>
      </vt:variant>
      <vt:variant>
        <vt:i4>152</vt:i4>
      </vt:variant>
      <vt:variant>
        <vt:i4>0</vt:i4>
      </vt:variant>
      <vt:variant>
        <vt:i4>5</vt:i4>
      </vt:variant>
      <vt:variant>
        <vt:lpwstr/>
      </vt:variant>
      <vt:variant>
        <vt:lpwstr>_Toc119685359</vt:lpwstr>
      </vt:variant>
      <vt:variant>
        <vt:i4>1048627</vt:i4>
      </vt:variant>
      <vt:variant>
        <vt:i4>146</vt:i4>
      </vt:variant>
      <vt:variant>
        <vt:i4>0</vt:i4>
      </vt:variant>
      <vt:variant>
        <vt:i4>5</vt:i4>
      </vt:variant>
      <vt:variant>
        <vt:lpwstr/>
      </vt:variant>
      <vt:variant>
        <vt:lpwstr>_Toc119685358</vt:lpwstr>
      </vt:variant>
      <vt:variant>
        <vt:i4>1048627</vt:i4>
      </vt:variant>
      <vt:variant>
        <vt:i4>140</vt:i4>
      </vt:variant>
      <vt:variant>
        <vt:i4>0</vt:i4>
      </vt:variant>
      <vt:variant>
        <vt:i4>5</vt:i4>
      </vt:variant>
      <vt:variant>
        <vt:lpwstr/>
      </vt:variant>
      <vt:variant>
        <vt:lpwstr>_Toc119685357</vt:lpwstr>
      </vt:variant>
      <vt:variant>
        <vt:i4>1048627</vt:i4>
      </vt:variant>
      <vt:variant>
        <vt:i4>134</vt:i4>
      </vt:variant>
      <vt:variant>
        <vt:i4>0</vt:i4>
      </vt:variant>
      <vt:variant>
        <vt:i4>5</vt:i4>
      </vt:variant>
      <vt:variant>
        <vt:lpwstr/>
      </vt:variant>
      <vt:variant>
        <vt:lpwstr>_Toc119685356</vt:lpwstr>
      </vt:variant>
      <vt:variant>
        <vt:i4>1048627</vt:i4>
      </vt:variant>
      <vt:variant>
        <vt:i4>128</vt:i4>
      </vt:variant>
      <vt:variant>
        <vt:i4>0</vt:i4>
      </vt:variant>
      <vt:variant>
        <vt:i4>5</vt:i4>
      </vt:variant>
      <vt:variant>
        <vt:lpwstr/>
      </vt:variant>
      <vt:variant>
        <vt:lpwstr>_Toc119685355</vt:lpwstr>
      </vt:variant>
      <vt:variant>
        <vt:i4>1048627</vt:i4>
      </vt:variant>
      <vt:variant>
        <vt:i4>122</vt:i4>
      </vt:variant>
      <vt:variant>
        <vt:i4>0</vt:i4>
      </vt:variant>
      <vt:variant>
        <vt:i4>5</vt:i4>
      </vt:variant>
      <vt:variant>
        <vt:lpwstr/>
      </vt:variant>
      <vt:variant>
        <vt:lpwstr>_Toc119685354</vt:lpwstr>
      </vt:variant>
      <vt:variant>
        <vt:i4>1048627</vt:i4>
      </vt:variant>
      <vt:variant>
        <vt:i4>116</vt:i4>
      </vt:variant>
      <vt:variant>
        <vt:i4>0</vt:i4>
      </vt:variant>
      <vt:variant>
        <vt:i4>5</vt:i4>
      </vt:variant>
      <vt:variant>
        <vt:lpwstr/>
      </vt:variant>
      <vt:variant>
        <vt:lpwstr>_Toc119685353</vt:lpwstr>
      </vt:variant>
      <vt:variant>
        <vt:i4>1048627</vt:i4>
      </vt:variant>
      <vt:variant>
        <vt:i4>110</vt:i4>
      </vt:variant>
      <vt:variant>
        <vt:i4>0</vt:i4>
      </vt:variant>
      <vt:variant>
        <vt:i4>5</vt:i4>
      </vt:variant>
      <vt:variant>
        <vt:lpwstr/>
      </vt:variant>
      <vt:variant>
        <vt:lpwstr>_Toc119685352</vt:lpwstr>
      </vt:variant>
      <vt:variant>
        <vt:i4>1048627</vt:i4>
      </vt:variant>
      <vt:variant>
        <vt:i4>104</vt:i4>
      </vt:variant>
      <vt:variant>
        <vt:i4>0</vt:i4>
      </vt:variant>
      <vt:variant>
        <vt:i4>5</vt:i4>
      </vt:variant>
      <vt:variant>
        <vt:lpwstr/>
      </vt:variant>
      <vt:variant>
        <vt:lpwstr>_Toc119685351</vt:lpwstr>
      </vt:variant>
      <vt:variant>
        <vt:i4>1048627</vt:i4>
      </vt:variant>
      <vt:variant>
        <vt:i4>98</vt:i4>
      </vt:variant>
      <vt:variant>
        <vt:i4>0</vt:i4>
      </vt:variant>
      <vt:variant>
        <vt:i4>5</vt:i4>
      </vt:variant>
      <vt:variant>
        <vt:lpwstr/>
      </vt:variant>
      <vt:variant>
        <vt:lpwstr>_Toc119685350</vt:lpwstr>
      </vt:variant>
      <vt:variant>
        <vt:i4>1114163</vt:i4>
      </vt:variant>
      <vt:variant>
        <vt:i4>92</vt:i4>
      </vt:variant>
      <vt:variant>
        <vt:i4>0</vt:i4>
      </vt:variant>
      <vt:variant>
        <vt:i4>5</vt:i4>
      </vt:variant>
      <vt:variant>
        <vt:lpwstr/>
      </vt:variant>
      <vt:variant>
        <vt:lpwstr>_Toc119685349</vt:lpwstr>
      </vt:variant>
      <vt:variant>
        <vt:i4>1114163</vt:i4>
      </vt:variant>
      <vt:variant>
        <vt:i4>86</vt:i4>
      </vt:variant>
      <vt:variant>
        <vt:i4>0</vt:i4>
      </vt:variant>
      <vt:variant>
        <vt:i4>5</vt:i4>
      </vt:variant>
      <vt:variant>
        <vt:lpwstr/>
      </vt:variant>
      <vt:variant>
        <vt:lpwstr>_Toc119685348</vt:lpwstr>
      </vt:variant>
      <vt:variant>
        <vt:i4>1114163</vt:i4>
      </vt:variant>
      <vt:variant>
        <vt:i4>80</vt:i4>
      </vt:variant>
      <vt:variant>
        <vt:i4>0</vt:i4>
      </vt:variant>
      <vt:variant>
        <vt:i4>5</vt:i4>
      </vt:variant>
      <vt:variant>
        <vt:lpwstr/>
      </vt:variant>
      <vt:variant>
        <vt:lpwstr>_Toc119685347</vt:lpwstr>
      </vt:variant>
      <vt:variant>
        <vt:i4>1114163</vt:i4>
      </vt:variant>
      <vt:variant>
        <vt:i4>74</vt:i4>
      </vt:variant>
      <vt:variant>
        <vt:i4>0</vt:i4>
      </vt:variant>
      <vt:variant>
        <vt:i4>5</vt:i4>
      </vt:variant>
      <vt:variant>
        <vt:lpwstr/>
      </vt:variant>
      <vt:variant>
        <vt:lpwstr>_Toc119685346</vt:lpwstr>
      </vt:variant>
      <vt:variant>
        <vt:i4>1114163</vt:i4>
      </vt:variant>
      <vt:variant>
        <vt:i4>68</vt:i4>
      </vt:variant>
      <vt:variant>
        <vt:i4>0</vt:i4>
      </vt:variant>
      <vt:variant>
        <vt:i4>5</vt:i4>
      </vt:variant>
      <vt:variant>
        <vt:lpwstr/>
      </vt:variant>
      <vt:variant>
        <vt:lpwstr>_Toc119685345</vt:lpwstr>
      </vt:variant>
      <vt:variant>
        <vt:i4>1114163</vt:i4>
      </vt:variant>
      <vt:variant>
        <vt:i4>62</vt:i4>
      </vt:variant>
      <vt:variant>
        <vt:i4>0</vt:i4>
      </vt:variant>
      <vt:variant>
        <vt:i4>5</vt:i4>
      </vt:variant>
      <vt:variant>
        <vt:lpwstr/>
      </vt:variant>
      <vt:variant>
        <vt:lpwstr>_Toc119685344</vt:lpwstr>
      </vt:variant>
      <vt:variant>
        <vt:i4>1114163</vt:i4>
      </vt:variant>
      <vt:variant>
        <vt:i4>56</vt:i4>
      </vt:variant>
      <vt:variant>
        <vt:i4>0</vt:i4>
      </vt:variant>
      <vt:variant>
        <vt:i4>5</vt:i4>
      </vt:variant>
      <vt:variant>
        <vt:lpwstr/>
      </vt:variant>
      <vt:variant>
        <vt:lpwstr>_Toc119685343</vt:lpwstr>
      </vt:variant>
      <vt:variant>
        <vt:i4>1114163</vt:i4>
      </vt:variant>
      <vt:variant>
        <vt:i4>50</vt:i4>
      </vt:variant>
      <vt:variant>
        <vt:i4>0</vt:i4>
      </vt:variant>
      <vt:variant>
        <vt:i4>5</vt:i4>
      </vt:variant>
      <vt:variant>
        <vt:lpwstr/>
      </vt:variant>
      <vt:variant>
        <vt:lpwstr>_Toc119685342</vt:lpwstr>
      </vt:variant>
      <vt:variant>
        <vt:i4>1114163</vt:i4>
      </vt:variant>
      <vt:variant>
        <vt:i4>44</vt:i4>
      </vt:variant>
      <vt:variant>
        <vt:i4>0</vt:i4>
      </vt:variant>
      <vt:variant>
        <vt:i4>5</vt:i4>
      </vt:variant>
      <vt:variant>
        <vt:lpwstr/>
      </vt:variant>
      <vt:variant>
        <vt:lpwstr>_Toc119685341</vt:lpwstr>
      </vt:variant>
      <vt:variant>
        <vt:i4>1114163</vt:i4>
      </vt:variant>
      <vt:variant>
        <vt:i4>38</vt:i4>
      </vt:variant>
      <vt:variant>
        <vt:i4>0</vt:i4>
      </vt:variant>
      <vt:variant>
        <vt:i4>5</vt:i4>
      </vt:variant>
      <vt:variant>
        <vt:lpwstr/>
      </vt:variant>
      <vt:variant>
        <vt:lpwstr>_Toc119685340</vt:lpwstr>
      </vt:variant>
      <vt:variant>
        <vt:i4>1441843</vt:i4>
      </vt:variant>
      <vt:variant>
        <vt:i4>32</vt:i4>
      </vt:variant>
      <vt:variant>
        <vt:i4>0</vt:i4>
      </vt:variant>
      <vt:variant>
        <vt:i4>5</vt:i4>
      </vt:variant>
      <vt:variant>
        <vt:lpwstr/>
      </vt:variant>
      <vt:variant>
        <vt:lpwstr>_Toc119685339</vt:lpwstr>
      </vt:variant>
      <vt:variant>
        <vt:i4>1441843</vt:i4>
      </vt:variant>
      <vt:variant>
        <vt:i4>26</vt:i4>
      </vt:variant>
      <vt:variant>
        <vt:i4>0</vt:i4>
      </vt:variant>
      <vt:variant>
        <vt:i4>5</vt:i4>
      </vt:variant>
      <vt:variant>
        <vt:lpwstr/>
      </vt:variant>
      <vt:variant>
        <vt:lpwstr>_Toc119685338</vt:lpwstr>
      </vt:variant>
      <vt:variant>
        <vt:i4>1441843</vt:i4>
      </vt:variant>
      <vt:variant>
        <vt:i4>20</vt:i4>
      </vt:variant>
      <vt:variant>
        <vt:i4>0</vt:i4>
      </vt:variant>
      <vt:variant>
        <vt:i4>5</vt:i4>
      </vt:variant>
      <vt:variant>
        <vt:lpwstr/>
      </vt:variant>
      <vt:variant>
        <vt:lpwstr>_Toc119685337</vt:lpwstr>
      </vt:variant>
      <vt:variant>
        <vt:i4>1441843</vt:i4>
      </vt:variant>
      <vt:variant>
        <vt:i4>14</vt:i4>
      </vt:variant>
      <vt:variant>
        <vt:i4>0</vt:i4>
      </vt:variant>
      <vt:variant>
        <vt:i4>5</vt:i4>
      </vt:variant>
      <vt:variant>
        <vt:lpwstr/>
      </vt:variant>
      <vt:variant>
        <vt:lpwstr>_Toc119685336</vt:lpwstr>
      </vt:variant>
      <vt:variant>
        <vt:i4>1441843</vt:i4>
      </vt:variant>
      <vt:variant>
        <vt:i4>8</vt:i4>
      </vt:variant>
      <vt:variant>
        <vt:i4>0</vt:i4>
      </vt:variant>
      <vt:variant>
        <vt:i4>5</vt:i4>
      </vt:variant>
      <vt:variant>
        <vt:lpwstr/>
      </vt:variant>
      <vt:variant>
        <vt:lpwstr>_Toc119685335</vt:lpwstr>
      </vt:variant>
      <vt:variant>
        <vt:i4>1441843</vt:i4>
      </vt:variant>
      <vt:variant>
        <vt:i4>2</vt:i4>
      </vt:variant>
      <vt:variant>
        <vt:i4>0</vt:i4>
      </vt:variant>
      <vt:variant>
        <vt:i4>5</vt:i4>
      </vt:variant>
      <vt:variant>
        <vt:lpwstr/>
      </vt:variant>
      <vt:variant>
        <vt:lpwstr>_Toc119685334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BiblioUis</dc:creator>
  <cp:keywords/>
  <dc:description/>
  <cp:lastModifiedBy>Eric  Davis</cp:lastModifiedBy>
  <cp:revision>2</cp:revision>
  <cp:lastPrinted>2022-10-18T04:06:00Z</cp:lastPrinted>
  <dcterms:created xsi:type="dcterms:W3CDTF">2026-01-16T20:58:00Z</dcterms:created>
  <dcterms:modified xsi:type="dcterms:W3CDTF">2026-01-16T20:58:00Z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565ee8cd-35fb-390e-86fb-6a878de6bbfd</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 11th edition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7th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 6th edition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http://www.zotero.org/styles/harvard-cite-them-right</vt:lpwstr>
  </property>
  <property fmtid="{D5CDD505-2E9C-101B-9397-08002B2CF9AE}" pid="16" name="Mendeley Recent Style Name 5_1">
    <vt:lpwstr>Cite Them Right 10th edition - Harvard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8th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